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6157" w:rsidRDefault="007D6157" w:rsidP="00DF7C0D">
      <w:pPr>
        <w:tabs>
          <w:tab w:val="left" w:pos="284"/>
        </w:tabs>
        <w:rPr>
          <w:b/>
          <w:color w:val="FF0000"/>
          <w:sz w:val="20"/>
          <w:szCs w:val="20"/>
        </w:rPr>
      </w:pPr>
    </w:p>
    <w:p w:rsidR="007D6157" w:rsidRDefault="007D6157" w:rsidP="00DF7C0D">
      <w:pPr>
        <w:tabs>
          <w:tab w:val="left" w:pos="284"/>
        </w:tabs>
        <w:rPr>
          <w:b/>
          <w:color w:val="FF0000"/>
          <w:sz w:val="20"/>
          <w:szCs w:val="20"/>
        </w:rPr>
      </w:pPr>
    </w:p>
    <w:p w:rsidR="007D6157" w:rsidRPr="00DF7C0D" w:rsidRDefault="007D6157" w:rsidP="00DF7C0D">
      <w:pPr>
        <w:tabs>
          <w:tab w:val="left" w:pos="284"/>
        </w:tabs>
        <w:rPr>
          <w:b/>
          <w:color w:val="FF0000"/>
          <w:sz w:val="20"/>
          <w:szCs w:val="20"/>
        </w:rPr>
      </w:pPr>
    </w:p>
    <w:p w:rsidR="007D6157" w:rsidRPr="006C3D91" w:rsidRDefault="007D6157" w:rsidP="00DF7C0D">
      <w:pPr>
        <w:tabs>
          <w:tab w:val="left" w:pos="284"/>
        </w:tabs>
        <w:jc w:val="center"/>
        <w:rPr>
          <w:b/>
        </w:rPr>
      </w:pPr>
      <w:r w:rsidRPr="006C3D91">
        <w:rPr>
          <w:b/>
        </w:rPr>
        <w:t>Utilização de resíduos da cadeia produtiva do pinhão para geração de energia</w:t>
      </w:r>
      <w:r w:rsidRPr="006C3D91">
        <w:rPr>
          <w:rStyle w:val="FootnoteReference"/>
          <w:b/>
        </w:rPr>
        <w:footnoteReference w:id="1"/>
      </w:r>
    </w:p>
    <w:p w:rsidR="007D6157" w:rsidRDefault="007D6157" w:rsidP="00A64772">
      <w:pPr>
        <w:rPr>
          <w:color w:val="FF0000"/>
          <w:sz w:val="20"/>
        </w:rPr>
      </w:pPr>
    </w:p>
    <w:p w:rsidR="007D6157" w:rsidRPr="003E285C" w:rsidRDefault="007D6157" w:rsidP="00EA38BF">
      <w:pPr>
        <w:pStyle w:val="Padro"/>
        <w:jc w:val="center"/>
        <w:rPr>
          <w:color w:val="3366FF"/>
          <w:sz w:val="22"/>
          <w:szCs w:val="22"/>
        </w:rPr>
      </w:pPr>
      <w:r w:rsidRPr="003E285C">
        <w:rPr>
          <w:sz w:val="22"/>
          <w:szCs w:val="22"/>
        </w:rPr>
        <w:t>Martha Andreia Brand</w:t>
      </w:r>
      <w:r w:rsidRPr="003E285C">
        <w:rPr>
          <w:rStyle w:val="FootnoteReference"/>
          <w:sz w:val="22"/>
          <w:szCs w:val="22"/>
        </w:rPr>
        <w:footnoteReference w:id="2"/>
      </w:r>
      <w:r w:rsidRPr="003E285C">
        <w:rPr>
          <w:sz w:val="22"/>
          <w:szCs w:val="22"/>
        </w:rPr>
        <w:t>, Rodolfo Cardoso Jacinto</w:t>
      </w:r>
      <w:r w:rsidRPr="003E285C">
        <w:rPr>
          <w:rStyle w:val="FootnoteReference"/>
          <w:sz w:val="22"/>
          <w:szCs w:val="22"/>
        </w:rPr>
        <w:footnoteReference w:id="3"/>
      </w:r>
      <w:r w:rsidRPr="003E285C">
        <w:rPr>
          <w:sz w:val="22"/>
          <w:szCs w:val="22"/>
        </w:rPr>
        <w:t xml:space="preserve">, </w:t>
      </w:r>
      <w:r>
        <w:rPr>
          <w:sz w:val="22"/>
          <w:szCs w:val="22"/>
        </w:rPr>
        <w:t>Gabriel Allegretti</w:t>
      </w:r>
      <w:r>
        <w:rPr>
          <w:sz w:val="22"/>
          <w:szCs w:val="22"/>
          <w:vertAlign w:val="superscript"/>
        </w:rPr>
        <w:t>3</w:t>
      </w:r>
      <w:r>
        <w:rPr>
          <w:sz w:val="22"/>
          <w:szCs w:val="22"/>
        </w:rPr>
        <w:t>,</w:t>
      </w:r>
      <w:r>
        <w:rPr>
          <w:sz w:val="22"/>
          <w:szCs w:val="22"/>
          <w:vertAlign w:val="superscript"/>
        </w:rPr>
        <w:t xml:space="preserve"> </w:t>
      </w:r>
      <w:r w:rsidRPr="003E285C">
        <w:rPr>
          <w:sz w:val="22"/>
          <w:szCs w:val="22"/>
        </w:rPr>
        <w:t>Alexsandro Bayestorff da Cunha</w:t>
      </w:r>
      <w:r w:rsidRPr="003E285C">
        <w:rPr>
          <w:rStyle w:val="FootnoteReference"/>
          <w:sz w:val="22"/>
          <w:szCs w:val="22"/>
        </w:rPr>
        <w:footnoteReference w:id="4"/>
      </w:r>
      <w:r w:rsidRPr="003E285C">
        <w:rPr>
          <w:sz w:val="22"/>
          <w:szCs w:val="22"/>
        </w:rPr>
        <w:t>, Polliana D’Angelo Rios</w:t>
      </w:r>
      <w:r>
        <w:rPr>
          <w:sz w:val="22"/>
          <w:szCs w:val="22"/>
          <w:vertAlign w:val="superscript"/>
        </w:rPr>
        <w:t>4</w:t>
      </w:r>
      <w:r w:rsidRPr="003E285C">
        <w:rPr>
          <w:sz w:val="22"/>
          <w:szCs w:val="22"/>
        </w:rPr>
        <w:t>.</w:t>
      </w:r>
    </w:p>
    <w:p w:rsidR="007D6157" w:rsidRDefault="007D6157" w:rsidP="00A64772">
      <w:pPr>
        <w:pStyle w:val="Padro"/>
        <w:jc w:val="center"/>
        <w:rPr>
          <w:color w:val="3366FF"/>
          <w:sz w:val="22"/>
          <w:szCs w:val="22"/>
        </w:rPr>
      </w:pPr>
    </w:p>
    <w:p w:rsidR="007D6157" w:rsidRPr="00B73C3F" w:rsidRDefault="007D6157" w:rsidP="00A64772"/>
    <w:p w:rsidR="007D6157" w:rsidRPr="00B73C3F" w:rsidRDefault="007D6157" w:rsidP="00A64772">
      <w:pPr>
        <w:rPr>
          <w:i/>
          <w:sz w:val="20"/>
          <w:szCs w:val="20"/>
        </w:rPr>
      </w:pPr>
      <w:r w:rsidRPr="00B73C3F">
        <w:rPr>
          <w:sz w:val="20"/>
          <w:szCs w:val="20"/>
        </w:rPr>
        <w:t xml:space="preserve">Palavras-chave: </w:t>
      </w:r>
      <w:r>
        <w:rPr>
          <w:sz w:val="20"/>
          <w:szCs w:val="20"/>
        </w:rPr>
        <w:t xml:space="preserve">falha de pinhão, energia de biomassa, </w:t>
      </w:r>
      <w:r>
        <w:rPr>
          <w:i/>
          <w:sz w:val="20"/>
          <w:szCs w:val="20"/>
        </w:rPr>
        <w:t>Araucaria angustifolia</w:t>
      </w:r>
      <w:r w:rsidRPr="00B73C3F">
        <w:rPr>
          <w:sz w:val="20"/>
          <w:szCs w:val="20"/>
        </w:rPr>
        <w:t>..</w:t>
      </w:r>
    </w:p>
    <w:p w:rsidR="007D6157" w:rsidRPr="000A265D" w:rsidRDefault="007D6157" w:rsidP="00A64772">
      <w:pPr>
        <w:rPr>
          <w:sz w:val="22"/>
          <w:szCs w:val="22"/>
        </w:rPr>
      </w:pPr>
    </w:p>
    <w:p w:rsidR="007D6157" w:rsidRPr="00BC5C99" w:rsidRDefault="007D6157" w:rsidP="006C3D91">
      <w:pPr>
        <w:rPr>
          <w:color w:val="FF0000"/>
          <w:sz w:val="22"/>
          <w:szCs w:val="22"/>
        </w:rPr>
      </w:pPr>
      <w:r w:rsidRPr="00BC5C99">
        <w:rPr>
          <w:sz w:val="22"/>
          <w:szCs w:val="22"/>
        </w:rPr>
        <w:t xml:space="preserve">Devido a pinha de a araucária ter 60% de falhas, e essas falhas não apresentarem utilidade, são deixadas no campo. OLIVEIRA, LOPES e BRUTTI (2010) demonstraram que as falhas possuem um poder calorífico maiores do que a madeira do </w:t>
      </w:r>
      <w:r w:rsidRPr="00BC5C99">
        <w:rPr>
          <w:i/>
          <w:sz w:val="22"/>
          <w:szCs w:val="22"/>
        </w:rPr>
        <w:t>Pinus</w:t>
      </w:r>
      <w:r w:rsidRPr="00BC5C99">
        <w:rPr>
          <w:sz w:val="22"/>
          <w:szCs w:val="22"/>
        </w:rPr>
        <w:t xml:space="preserve">, tornando o material apto a geração de energia. Devido à falha ter um baixo peso uma alternativa viável seria a briquetagem. O objetivo do presente estudo foi a determinação da qualidade energética a determinação das características físicas e químicas dos briquetes produzidos a partir destes resíduos. Os locais de coleta da falha do pinhão foram os municípios de São José do Cerrito, Painel e Lages, localizados na região serrana sul do Estado de Santa Catarina. Os ensaios foram conduzidos nos Laboratórios de Tecnologia da Madeira do Centro de Ciências Agroveterinárias, da Universidade do Estado de Santa Catarina, e no laboratório de Química e Energia da Madeira do Centro de Ciências Exatas e Tecnológicas da Universidade do Planalto Catarinense, ambos situados no município de Lages/SC, no período de junho de </w:t>
      </w:r>
      <w:smartTag w:uri="urn:schemas-microsoft-com:office:smarttags" w:element="metricconverter">
        <w:smartTagPr>
          <w:attr w:name="ProductID" w:val="2012 a"/>
        </w:smartTagPr>
        <w:r w:rsidRPr="00BC5C99">
          <w:rPr>
            <w:sz w:val="22"/>
            <w:szCs w:val="22"/>
          </w:rPr>
          <w:t>2012 a</w:t>
        </w:r>
      </w:smartTag>
      <w:r w:rsidRPr="00BC5C99">
        <w:rPr>
          <w:sz w:val="22"/>
          <w:szCs w:val="22"/>
        </w:rPr>
        <w:t xml:space="preserve"> abril de 2013. Antes de qualquer processo foi medida a umidade da falha de acordo com a norma NBR </w:t>
      </w:r>
      <w:smartTag w:uri="urn:schemas-microsoft-com:office:smarttags" w:element="metricconverter">
        <w:smartTagPr>
          <w:attr w:name="ProductID" w:val="14929, a"/>
        </w:smartTagPr>
        <w:r w:rsidRPr="00BC5C99">
          <w:rPr>
            <w:sz w:val="22"/>
            <w:szCs w:val="22"/>
          </w:rPr>
          <w:t>14929, a</w:t>
        </w:r>
      </w:smartTag>
      <w:r w:rsidRPr="00BC5C99">
        <w:rPr>
          <w:sz w:val="22"/>
          <w:szCs w:val="22"/>
        </w:rPr>
        <w:t xml:space="preserve"> qual teve a média de 61% de umidade, após esse processo a falha ficou acondicionada em uma câmara climatizada, em temperatura ambiente, até o teor de umidade constante a 12%. A metade da coleta da falha de pinhão foi moída e feita à análise de granulometria, analise química e imediata, para o processo de briquetagem.  </w:t>
      </w:r>
      <w:r w:rsidRPr="00BC5C99">
        <w:rPr>
          <w:bCs/>
          <w:sz w:val="22"/>
          <w:szCs w:val="22"/>
        </w:rPr>
        <w:t>Foram feitos 9  briquetes de falhas inteiras e moídas para cada amostras, as quais foram produzidos através de b</w:t>
      </w:r>
      <w:r w:rsidRPr="00BC5C99">
        <w:rPr>
          <w:sz w:val="22"/>
          <w:szCs w:val="22"/>
        </w:rPr>
        <w:t xml:space="preserve">riquetagem à quente, em briquetadeira piloto da marca Lippel. Em seguida moeu-se 4 briquetes de cada amostras, tanto briquete de falha moída quanto de falha inteira, para esses briquetes foram feito as analises de teor de umidade de acordo com a NBR 14929, poder calorifico seguindo a norma DIN 51900, teor de cinzas, porcentagem de carbono fixo e </w:t>
      </w:r>
      <w:r w:rsidRPr="00BC5C99">
        <w:rPr>
          <w:i/>
          <w:sz w:val="22"/>
          <w:szCs w:val="22"/>
        </w:rPr>
        <w:t xml:space="preserve">voláteis </w:t>
      </w:r>
      <w:r w:rsidRPr="00BC5C99">
        <w:rPr>
          <w:rStyle w:val="Emphasis"/>
          <w:bCs/>
          <w:i w:val="0"/>
          <w:iCs/>
          <w:color w:val="000000"/>
          <w:sz w:val="22"/>
          <w:szCs w:val="22"/>
          <w:shd w:val="clear" w:color="auto" w:fill="FFFFFF"/>
        </w:rPr>
        <w:t xml:space="preserve">pela normal ASTM 1762. Os 5 briquetes restantes, de cada amostra, foram utilizados para a determinação da </w:t>
      </w:r>
      <w:r w:rsidRPr="00BC5C99">
        <w:rPr>
          <w:sz w:val="22"/>
          <w:szCs w:val="22"/>
        </w:rPr>
        <w:t>massa específica aparente dos briquetes, através da medição do volume e peso dos briquetes obtidos nos ensaios de laboratório, resistência à compressão dos briquetes em pé em máquina universal de ensaios modelo D30000.</w:t>
      </w:r>
      <w:bookmarkStart w:id="0" w:name="_GoBack"/>
      <w:bookmarkEnd w:id="0"/>
    </w:p>
    <w:sectPr w:rsidR="007D6157" w:rsidRPr="00BC5C99" w:rsidSect="003C3D3B">
      <w:headerReference w:type="default" r:id="rId6"/>
      <w:pgSz w:w="12240" w:h="15840"/>
      <w:pgMar w:top="1701" w:right="1134" w:bottom="1134" w:left="1701"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6157" w:rsidRDefault="007D6157" w:rsidP="00A64772">
      <w:r>
        <w:separator/>
      </w:r>
    </w:p>
  </w:endnote>
  <w:endnote w:type="continuationSeparator" w:id="0">
    <w:p w:rsidR="007D6157" w:rsidRDefault="007D6157" w:rsidP="00A6477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6157" w:rsidRDefault="007D6157" w:rsidP="00A64772">
      <w:r>
        <w:separator/>
      </w:r>
    </w:p>
  </w:footnote>
  <w:footnote w:type="continuationSeparator" w:id="0">
    <w:p w:rsidR="007D6157" w:rsidRDefault="007D6157" w:rsidP="00A64772">
      <w:r>
        <w:continuationSeparator/>
      </w:r>
    </w:p>
  </w:footnote>
  <w:footnote w:id="1">
    <w:p w:rsidR="007D6157" w:rsidRDefault="007D6157" w:rsidP="00153944">
      <w:pPr>
        <w:pStyle w:val="FootnoteText"/>
        <w:jc w:val="both"/>
      </w:pPr>
      <w:r>
        <w:rPr>
          <w:rStyle w:val="FootnoteReference"/>
        </w:rPr>
        <w:footnoteRef/>
      </w:r>
      <w:r>
        <w:t xml:space="preserve"> </w:t>
      </w:r>
      <w:r w:rsidRPr="00D075F8">
        <w:t>Trabalho pertencente ao projeto de pesquisa “</w:t>
      </w:r>
      <w:r w:rsidRPr="00D075F8">
        <w:rPr>
          <w:rStyle w:val="Emphasis"/>
          <w:iCs/>
          <w:color w:val="000000"/>
          <w:shd w:val="clear" w:color="auto" w:fill="FFFFFF"/>
        </w:rPr>
        <w:t>Utilização de resíduos da cadeia produtiva do pinhão para geração de energia</w:t>
      </w:r>
      <w:r>
        <w:rPr>
          <w:rStyle w:val="Emphasis"/>
          <w:iCs/>
          <w:color w:val="000000"/>
          <w:shd w:val="clear" w:color="auto" w:fill="FFFFFF"/>
        </w:rPr>
        <w:t>”.</w:t>
      </w:r>
    </w:p>
  </w:footnote>
  <w:footnote w:id="2">
    <w:p w:rsidR="007D6157" w:rsidRDefault="007D6157" w:rsidP="00EA38BF">
      <w:pPr>
        <w:pStyle w:val="EndnoteText"/>
      </w:pPr>
      <w:r>
        <w:rPr>
          <w:rStyle w:val="FootnoteReference"/>
        </w:rPr>
        <w:footnoteRef/>
      </w:r>
      <w:r>
        <w:t xml:space="preserve"> Orientadora, Professora do Departamento de Engenharia Florestal, CAV - UDESC – a2mab@cav.udesc.br.</w:t>
      </w:r>
    </w:p>
  </w:footnote>
  <w:footnote w:id="3">
    <w:p w:rsidR="007D6157" w:rsidRDefault="007D6157" w:rsidP="00916FC1">
      <w:pPr>
        <w:pStyle w:val="FootnoteText"/>
      </w:pPr>
      <w:r>
        <w:rPr>
          <w:rStyle w:val="FootnoteReference"/>
        </w:rPr>
        <w:footnoteRef/>
      </w:r>
      <w:r>
        <w:t xml:space="preserve"> </w:t>
      </w:r>
      <w:r>
        <w:rPr>
          <w:color w:val="000000"/>
        </w:rPr>
        <w:t>Acadêmico, Curso de Engenharia Florestal, CAV - UDESC, bolsista de iniciação científica PROBITI/UDESC.</w:t>
      </w:r>
    </w:p>
  </w:footnote>
  <w:footnote w:id="4">
    <w:p w:rsidR="007D6157" w:rsidRDefault="007D6157" w:rsidP="00EA38BF">
      <w:pPr>
        <w:pStyle w:val="FootnoteText"/>
      </w:pPr>
      <w:r>
        <w:rPr>
          <w:rStyle w:val="FootnoteReference"/>
        </w:rPr>
        <w:footnoteRef/>
      </w:r>
      <w:r>
        <w:t xml:space="preserve"> Professor do Departamento de Engenharia Florestal, CAV - UDESC.</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157" w:rsidRDefault="007D6157" w:rsidP="00553A64">
    <w:pPr>
      <w:pStyle w:val="Header"/>
      <w:jc w:val="righ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 o:spid="_x0000_s2049" type="#_x0000_t75" alt="Marca_UDESC_horizontal_assinatura" style="position:absolute;left:0;text-align:left;margin-left:0;margin-top:-6.75pt;width:122.25pt;height:53.25pt;z-index:251660288;visibility:visible" o:allowoverlap="f">
          <v:imagedata r:id="rId1" o:title=""/>
          <w10:wrap type="square"/>
        </v:shape>
      </w:pict>
    </w:r>
    <w:r>
      <w:rPr>
        <w:noProof/>
      </w:rPr>
      <w:pict>
        <v:shape id="Imagem 1" o:spid="_x0000_i1026" type="#_x0000_t75" style="width:189pt;height:49.5pt;visibility:visible">
          <v:imagedata r:id="rId2" o:titl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64772"/>
    <w:rsid w:val="00005336"/>
    <w:rsid w:val="000148B1"/>
    <w:rsid w:val="000377A6"/>
    <w:rsid w:val="00090B7E"/>
    <w:rsid w:val="000A265D"/>
    <w:rsid w:val="000E1A11"/>
    <w:rsid w:val="000E45BF"/>
    <w:rsid w:val="0013023E"/>
    <w:rsid w:val="00153944"/>
    <w:rsid w:val="001871E1"/>
    <w:rsid w:val="001A4884"/>
    <w:rsid w:val="001D13A7"/>
    <w:rsid w:val="001F4109"/>
    <w:rsid w:val="00225F4E"/>
    <w:rsid w:val="00265173"/>
    <w:rsid w:val="002A1E2A"/>
    <w:rsid w:val="002E3679"/>
    <w:rsid w:val="00302A95"/>
    <w:rsid w:val="0032767F"/>
    <w:rsid w:val="003655F9"/>
    <w:rsid w:val="00377E86"/>
    <w:rsid w:val="003C3D3B"/>
    <w:rsid w:val="003E285C"/>
    <w:rsid w:val="003F6286"/>
    <w:rsid w:val="00435AE8"/>
    <w:rsid w:val="00437058"/>
    <w:rsid w:val="0044019C"/>
    <w:rsid w:val="004772EE"/>
    <w:rsid w:val="00544639"/>
    <w:rsid w:val="00553A64"/>
    <w:rsid w:val="00566486"/>
    <w:rsid w:val="00572C80"/>
    <w:rsid w:val="00592D53"/>
    <w:rsid w:val="005B396C"/>
    <w:rsid w:val="006015A8"/>
    <w:rsid w:val="00637EE7"/>
    <w:rsid w:val="006A5D49"/>
    <w:rsid w:val="006C3D91"/>
    <w:rsid w:val="006D4FB2"/>
    <w:rsid w:val="00717A8D"/>
    <w:rsid w:val="00742089"/>
    <w:rsid w:val="007915A6"/>
    <w:rsid w:val="007B6783"/>
    <w:rsid w:val="007B7A79"/>
    <w:rsid w:val="007D6157"/>
    <w:rsid w:val="007E4FEE"/>
    <w:rsid w:val="0080064E"/>
    <w:rsid w:val="00816EC7"/>
    <w:rsid w:val="00845FED"/>
    <w:rsid w:val="00886D92"/>
    <w:rsid w:val="008F2113"/>
    <w:rsid w:val="009131DD"/>
    <w:rsid w:val="00916FC1"/>
    <w:rsid w:val="00926049"/>
    <w:rsid w:val="00935609"/>
    <w:rsid w:val="009407ED"/>
    <w:rsid w:val="00944D3D"/>
    <w:rsid w:val="00990823"/>
    <w:rsid w:val="009B384F"/>
    <w:rsid w:val="009B5D0C"/>
    <w:rsid w:val="009C407C"/>
    <w:rsid w:val="009C7427"/>
    <w:rsid w:val="00A22197"/>
    <w:rsid w:val="00A626A0"/>
    <w:rsid w:val="00A64772"/>
    <w:rsid w:val="00AC77F0"/>
    <w:rsid w:val="00AD4125"/>
    <w:rsid w:val="00AE06AA"/>
    <w:rsid w:val="00B11B3A"/>
    <w:rsid w:val="00B23D77"/>
    <w:rsid w:val="00B25863"/>
    <w:rsid w:val="00B4355E"/>
    <w:rsid w:val="00B73C3F"/>
    <w:rsid w:val="00BC5C99"/>
    <w:rsid w:val="00BD1F7E"/>
    <w:rsid w:val="00C6462C"/>
    <w:rsid w:val="00CF6327"/>
    <w:rsid w:val="00D075F8"/>
    <w:rsid w:val="00DD7367"/>
    <w:rsid w:val="00DF7C0D"/>
    <w:rsid w:val="00E3416D"/>
    <w:rsid w:val="00E95142"/>
    <w:rsid w:val="00EA1E7E"/>
    <w:rsid w:val="00EA38BF"/>
    <w:rsid w:val="00EB3B00"/>
    <w:rsid w:val="00EF1F99"/>
    <w:rsid w:val="00F41F68"/>
    <w:rsid w:val="00F70610"/>
    <w:rsid w:val="00FD0C55"/>
  </w:rsids>
  <m:mathPr>
    <m:mathFont m:val="Cambria Math"/>
    <m:brkBin m:val="before"/>
    <m:brkBinSub m:val="--"/>
    <m:smallFrac m:val="off"/>
    <m:dispDef/>
    <m:lMargin m:val="0"/>
    <m:rMargin m:val="0"/>
    <m:defJc m:val="centerGroup"/>
    <m:wrapIndent m:val="1440"/>
    <m:intLim m:val="subSup"/>
    <m:naryLim m:val="undOvr"/>
  </m:mathPr>
  <w:uiCompat97To2003/>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header" w:locked="1" w:semiHidden="0" w:uiPriority="0" w:unhideWhenUsed="0"/>
    <w:lsdException w:name="caption" w:locked="1" w:uiPriority="0" w:qFormat="1"/>
    <w:lsdException w:name="footnote reference" w:locked="1" w:semiHidden="0" w:uiPriority="0" w:unhideWhenUsed="0"/>
    <w:lsdException w:name="endnote text"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772"/>
    <w:rPr>
      <w:rFonts w:ascii="Times New Roman" w:eastAsia="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64772"/>
    <w:rPr>
      <w:rFonts w:ascii="Tahoma" w:eastAsia="Calibri" w:hAnsi="Tahoma"/>
      <w:sz w:val="16"/>
      <w:szCs w:val="16"/>
    </w:rPr>
  </w:style>
  <w:style w:type="character" w:customStyle="1" w:styleId="BalloonTextChar">
    <w:name w:val="Balloon Text Char"/>
    <w:basedOn w:val="DefaultParagraphFont"/>
    <w:link w:val="BalloonText"/>
    <w:uiPriority w:val="99"/>
    <w:semiHidden/>
    <w:locked/>
    <w:rsid w:val="00A64772"/>
    <w:rPr>
      <w:rFonts w:ascii="Tahoma" w:hAnsi="Tahoma" w:cs="Times New Roman"/>
      <w:sz w:val="16"/>
      <w:lang w:eastAsia="pt-BR"/>
    </w:rPr>
  </w:style>
  <w:style w:type="paragraph" w:styleId="BodyText">
    <w:name w:val="Body Text"/>
    <w:basedOn w:val="Normal"/>
    <w:link w:val="BodyTextChar"/>
    <w:uiPriority w:val="99"/>
    <w:semiHidden/>
    <w:rsid w:val="00A64772"/>
    <w:pPr>
      <w:spacing w:line="360" w:lineRule="auto"/>
      <w:jc w:val="both"/>
    </w:pPr>
    <w:rPr>
      <w:rFonts w:ascii="Tahoma" w:eastAsia="Calibri" w:hAnsi="Tahoma"/>
      <w:color w:val="FF0000"/>
      <w:sz w:val="20"/>
      <w:szCs w:val="20"/>
    </w:rPr>
  </w:style>
  <w:style w:type="character" w:customStyle="1" w:styleId="BodyTextChar">
    <w:name w:val="Body Text Char"/>
    <w:basedOn w:val="DefaultParagraphFont"/>
    <w:link w:val="BodyText"/>
    <w:uiPriority w:val="99"/>
    <w:semiHidden/>
    <w:locked/>
    <w:rsid w:val="00A64772"/>
    <w:rPr>
      <w:rFonts w:ascii="Tahoma" w:hAnsi="Tahoma" w:cs="Times New Roman"/>
      <w:color w:val="FF0000"/>
      <w:sz w:val="20"/>
      <w:lang w:eastAsia="pt-BR"/>
    </w:rPr>
  </w:style>
  <w:style w:type="paragraph" w:styleId="Header">
    <w:name w:val="header"/>
    <w:basedOn w:val="Normal"/>
    <w:link w:val="HeaderChar"/>
    <w:uiPriority w:val="99"/>
    <w:semiHidden/>
    <w:rsid w:val="00A64772"/>
    <w:pPr>
      <w:tabs>
        <w:tab w:val="center" w:pos="4419"/>
        <w:tab w:val="right" w:pos="8838"/>
      </w:tabs>
    </w:pPr>
    <w:rPr>
      <w:rFonts w:eastAsia="Calibri"/>
    </w:rPr>
  </w:style>
  <w:style w:type="character" w:customStyle="1" w:styleId="HeaderChar">
    <w:name w:val="Header Char"/>
    <w:basedOn w:val="DefaultParagraphFont"/>
    <w:link w:val="Header"/>
    <w:uiPriority w:val="99"/>
    <w:semiHidden/>
    <w:locked/>
    <w:rsid w:val="00A64772"/>
    <w:rPr>
      <w:rFonts w:ascii="Times New Roman" w:hAnsi="Times New Roman" w:cs="Times New Roman"/>
      <w:sz w:val="24"/>
      <w:lang w:eastAsia="pt-BR"/>
    </w:rPr>
  </w:style>
  <w:style w:type="paragraph" w:customStyle="1" w:styleId="Padro">
    <w:name w:val="Padrão"/>
    <w:uiPriority w:val="99"/>
    <w:rsid w:val="00A64772"/>
    <w:pPr>
      <w:widowControl w:val="0"/>
      <w:autoSpaceDE w:val="0"/>
      <w:autoSpaceDN w:val="0"/>
      <w:adjustRightInd w:val="0"/>
    </w:pPr>
    <w:rPr>
      <w:rFonts w:ascii="Times New Roman" w:eastAsia="Times New Roman" w:hAnsi="Times New Roman"/>
      <w:sz w:val="20"/>
      <w:szCs w:val="24"/>
    </w:rPr>
  </w:style>
  <w:style w:type="paragraph" w:styleId="EndnoteText">
    <w:name w:val="endnote text"/>
    <w:basedOn w:val="Normal"/>
    <w:link w:val="EndnoteTextChar"/>
    <w:uiPriority w:val="99"/>
    <w:semiHidden/>
    <w:rsid w:val="00A64772"/>
    <w:rPr>
      <w:rFonts w:eastAsia="Calibri"/>
      <w:sz w:val="20"/>
      <w:szCs w:val="20"/>
    </w:rPr>
  </w:style>
  <w:style w:type="character" w:customStyle="1" w:styleId="EndnoteTextChar">
    <w:name w:val="Endnote Text Char"/>
    <w:basedOn w:val="DefaultParagraphFont"/>
    <w:link w:val="EndnoteText"/>
    <w:uiPriority w:val="99"/>
    <w:semiHidden/>
    <w:locked/>
    <w:rsid w:val="00A64772"/>
    <w:rPr>
      <w:rFonts w:ascii="Times New Roman" w:hAnsi="Times New Roman" w:cs="Times New Roman"/>
      <w:sz w:val="20"/>
      <w:lang w:eastAsia="pt-BR"/>
    </w:rPr>
  </w:style>
  <w:style w:type="paragraph" w:styleId="FootnoteText">
    <w:name w:val="footnote text"/>
    <w:basedOn w:val="Normal"/>
    <w:link w:val="FootnoteTextChar"/>
    <w:uiPriority w:val="99"/>
    <w:semiHidden/>
    <w:rsid w:val="00A64772"/>
    <w:rPr>
      <w:rFonts w:eastAsia="Calibri"/>
      <w:sz w:val="20"/>
      <w:szCs w:val="20"/>
    </w:rPr>
  </w:style>
  <w:style w:type="character" w:customStyle="1" w:styleId="FootnoteTextChar">
    <w:name w:val="Footnote Text Char"/>
    <w:basedOn w:val="DefaultParagraphFont"/>
    <w:link w:val="FootnoteText"/>
    <w:uiPriority w:val="99"/>
    <w:semiHidden/>
    <w:locked/>
    <w:rsid w:val="00A64772"/>
    <w:rPr>
      <w:rFonts w:ascii="Times New Roman" w:hAnsi="Times New Roman" w:cs="Times New Roman"/>
      <w:sz w:val="20"/>
      <w:lang w:eastAsia="pt-BR"/>
    </w:rPr>
  </w:style>
  <w:style w:type="character" w:styleId="FootnoteReference">
    <w:name w:val="footnote reference"/>
    <w:basedOn w:val="DefaultParagraphFont"/>
    <w:uiPriority w:val="99"/>
    <w:semiHidden/>
    <w:rsid w:val="00A64772"/>
    <w:rPr>
      <w:rFonts w:cs="Times New Roman"/>
      <w:vertAlign w:val="superscript"/>
    </w:rPr>
  </w:style>
  <w:style w:type="paragraph" w:styleId="Footer">
    <w:name w:val="footer"/>
    <w:basedOn w:val="Normal"/>
    <w:link w:val="FooterChar"/>
    <w:uiPriority w:val="99"/>
    <w:rsid w:val="00A64772"/>
    <w:pPr>
      <w:tabs>
        <w:tab w:val="center" w:pos="4252"/>
        <w:tab w:val="right" w:pos="8504"/>
      </w:tabs>
    </w:pPr>
    <w:rPr>
      <w:rFonts w:eastAsia="Calibri"/>
    </w:rPr>
  </w:style>
  <w:style w:type="character" w:customStyle="1" w:styleId="FooterChar">
    <w:name w:val="Footer Char"/>
    <w:basedOn w:val="DefaultParagraphFont"/>
    <w:link w:val="Footer"/>
    <w:uiPriority w:val="99"/>
    <w:locked/>
    <w:rsid w:val="00A64772"/>
    <w:rPr>
      <w:rFonts w:ascii="Times New Roman" w:hAnsi="Times New Roman" w:cs="Times New Roman"/>
      <w:sz w:val="24"/>
      <w:lang w:eastAsia="pt-BR"/>
    </w:rPr>
  </w:style>
  <w:style w:type="character" w:styleId="CommentReference">
    <w:name w:val="annotation reference"/>
    <w:basedOn w:val="DefaultParagraphFont"/>
    <w:uiPriority w:val="99"/>
    <w:semiHidden/>
    <w:rsid w:val="00435AE8"/>
    <w:rPr>
      <w:rFonts w:cs="Times New Roman"/>
      <w:sz w:val="16"/>
    </w:rPr>
  </w:style>
  <w:style w:type="paragraph" w:styleId="CommentText">
    <w:name w:val="annotation text"/>
    <w:basedOn w:val="Normal"/>
    <w:link w:val="CommentTextChar"/>
    <w:uiPriority w:val="99"/>
    <w:semiHidden/>
    <w:rsid w:val="00435AE8"/>
    <w:pPr>
      <w:spacing w:after="200"/>
    </w:pPr>
    <w:rPr>
      <w:rFonts w:ascii="Calibri" w:eastAsia="Calibri" w:hAnsi="Calibri"/>
      <w:sz w:val="20"/>
      <w:szCs w:val="20"/>
      <w:lang w:eastAsia="en-US"/>
    </w:rPr>
  </w:style>
  <w:style w:type="character" w:customStyle="1" w:styleId="CommentTextChar">
    <w:name w:val="Comment Text Char"/>
    <w:basedOn w:val="DefaultParagraphFont"/>
    <w:link w:val="CommentText"/>
    <w:uiPriority w:val="99"/>
    <w:semiHidden/>
    <w:locked/>
    <w:rsid w:val="00435AE8"/>
    <w:rPr>
      <w:rFonts w:cs="Times New Roman"/>
      <w:lang w:eastAsia="en-US"/>
    </w:rPr>
  </w:style>
  <w:style w:type="character" w:styleId="Emphasis">
    <w:name w:val="Emphasis"/>
    <w:basedOn w:val="DefaultParagraphFont"/>
    <w:uiPriority w:val="99"/>
    <w:qFormat/>
    <w:locked/>
    <w:rsid w:val="00435AE8"/>
    <w:rPr>
      <w:rFonts w:cs="Times New Roman"/>
      <w:i/>
    </w:rPr>
  </w:style>
</w:styles>
</file>

<file path=word/webSettings.xml><?xml version="1.0" encoding="utf-8"?>
<w:webSettings xmlns:r="http://schemas.openxmlformats.org/officeDocument/2006/relationships" xmlns:w="http://schemas.openxmlformats.org/wordprocessingml/2006/main">
  <w:divs>
    <w:div w:id="128519204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1</Pages>
  <Words>402</Words>
  <Characters>2172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Dalva Magro</dc:creator>
  <cp:keywords/>
  <dc:description/>
  <cp:lastModifiedBy>Rosiris</cp:lastModifiedBy>
  <cp:revision>6</cp:revision>
  <cp:lastPrinted>2013-07-22T14:08:00Z</cp:lastPrinted>
  <dcterms:created xsi:type="dcterms:W3CDTF">2013-07-22T16:17:00Z</dcterms:created>
  <dcterms:modified xsi:type="dcterms:W3CDTF">2013-07-29T22:08:00Z</dcterms:modified>
</cp:coreProperties>
</file>