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BBB" w:rsidRDefault="00FD3BBB" w:rsidP="00A64772">
      <w:pPr>
        <w:tabs>
          <w:tab w:val="left" w:pos="284"/>
        </w:tabs>
        <w:rPr>
          <w:b/>
          <w:color w:val="FF0000"/>
          <w:sz w:val="20"/>
          <w:szCs w:val="20"/>
        </w:rPr>
      </w:pPr>
      <w:bookmarkStart w:id="0" w:name="_GoBack"/>
      <w:bookmarkEnd w:id="0"/>
    </w:p>
    <w:p w:rsidR="00FD3BBB" w:rsidRDefault="00FD3BBB" w:rsidP="00553A64">
      <w:pPr>
        <w:tabs>
          <w:tab w:val="left" w:pos="284"/>
        </w:tabs>
        <w:jc w:val="center"/>
        <w:rPr>
          <w:b/>
          <w:color w:val="FF0000"/>
          <w:sz w:val="20"/>
          <w:szCs w:val="20"/>
        </w:rPr>
      </w:pPr>
    </w:p>
    <w:p w:rsidR="00FD3BBB" w:rsidRDefault="00FD3BBB" w:rsidP="00553A64">
      <w:pPr>
        <w:tabs>
          <w:tab w:val="left" w:pos="284"/>
        </w:tabs>
        <w:jc w:val="center"/>
        <w:rPr>
          <w:b/>
          <w:color w:val="FF0000"/>
          <w:sz w:val="20"/>
          <w:szCs w:val="20"/>
        </w:rPr>
      </w:pPr>
    </w:p>
    <w:p w:rsidR="00FD3BBB" w:rsidRDefault="00FD3BBB" w:rsidP="00A64772">
      <w:pPr>
        <w:tabs>
          <w:tab w:val="left" w:pos="284"/>
        </w:tabs>
        <w:jc w:val="center"/>
        <w:rPr>
          <w:b/>
        </w:rPr>
      </w:pPr>
      <w:r w:rsidRPr="0029486C">
        <w:rPr>
          <w:b/>
        </w:rPr>
        <w:t xml:space="preserve">Relação entre o componente arbóreo e variáveis ambientais na região de Coxilha Rica em Lages, SC </w:t>
      </w:r>
      <w:r>
        <w:rPr>
          <w:b/>
        </w:rPr>
        <w:t>– Etapa I: Fitossociologia da comunidade arbórea</w:t>
      </w:r>
    </w:p>
    <w:p w:rsidR="00FD3BBB" w:rsidRDefault="00FD3BBB" w:rsidP="00A64772">
      <w:pPr>
        <w:pStyle w:val="Padro"/>
        <w:jc w:val="center"/>
        <w:rPr>
          <w:sz w:val="22"/>
          <w:szCs w:val="22"/>
        </w:rPr>
      </w:pPr>
    </w:p>
    <w:p w:rsidR="00FD3BBB" w:rsidRDefault="00FD3BBB" w:rsidP="00A64772">
      <w:pPr>
        <w:pStyle w:val="Padro"/>
        <w:jc w:val="center"/>
        <w:rPr>
          <w:sz w:val="22"/>
          <w:szCs w:val="22"/>
        </w:rPr>
      </w:pPr>
      <w:r w:rsidRPr="009557FC">
        <w:rPr>
          <w:sz w:val="22"/>
          <w:szCs w:val="22"/>
        </w:rPr>
        <w:t>Ana Carolina da Silva</w:t>
      </w:r>
      <w:r w:rsidRPr="009557FC">
        <w:rPr>
          <w:rStyle w:val="FootnoteReference"/>
          <w:sz w:val="22"/>
          <w:szCs w:val="22"/>
        </w:rPr>
        <w:footnoteReference w:id="1"/>
      </w:r>
      <w:r w:rsidRPr="009557FC">
        <w:rPr>
          <w:sz w:val="22"/>
          <w:szCs w:val="22"/>
        </w:rPr>
        <w:t>, Roni Djeison Ansolin</w:t>
      </w:r>
      <w:r w:rsidRPr="009557FC">
        <w:rPr>
          <w:rStyle w:val="FootnoteReference"/>
          <w:sz w:val="22"/>
          <w:szCs w:val="22"/>
        </w:rPr>
        <w:footnoteReference w:id="2"/>
      </w:r>
      <w:r w:rsidRPr="009557FC">
        <w:rPr>
          <w:sz w:val="22"/>
          <w:szCs w:val="22"/>
        </w:rPr>
        <w:t>, Pedro Higuchi</w:t>
      </w:r>
      <w:r w:rsidRPr="009557FC">
        <w:rPr>
          <w:rStyle w:val="FootnoteReference"/>
          <w:sz w:val="22"/>
          <w:szCs w:val="22"/>
        </w:rPr>
        <w:footnoteReference w:id="3"/>
      </w:r>
      <w:r w:rsidRPr="009557FC">
        <w:rPr>
          <w:sz w:val="22"/>
          <w:szCs w:val="22"/>
        </w:rPr>
        <w:t>, Larissa Cardoso Kuster</w:t>
      </w:r>
      <w:r w:rsidRPr="009557FC">
        <w:rPr>
          <w:rStyle w:val="FootnoteReference"/>
          <w:sz w:val="22"/>
          <w:szCs w:val="22"/>
        </w:rPr>
        <w:footnoteReference w:id="4"/>
      </w:r>
      <w:r w:rsidRPr="009557FC">
        <w:rPr>
          <w:sz w:val="22"/>
          <w:szCs w:val="22"/>
        </w:rPr>
        <w:t>,Tiago de Souza Ferreira</w:t>
      </w:r>
      <w:r w:rsidRPr="009557FC">
        <w:rPr>
          <w:rStyle w:val="FootnoteReference"/>
          <w:sz w:val="22"/>
          <w:szCs w:val="22"/>
        </w:rPr>
        <w:footnoteReference w:id="5"/>
      </w:r>
      <w:r w:rsidRPr="009557FC">
        <w:rPr>
          <w:sz w:val="22"/>
          <w:szCs w:val="22"/>
        </w:rPr>
        <w:t>, Fernando Buzzi Jr.</w:t>
      </w:r>
      <w:r w:rsidRPr="0029486C">
        <w:rPr>
          <w:sz w:val="22"/>
          <w:szCs w:val="22"/>
          <w:vertAlign w:val="superscript"/>
        </w:rPr>
        <w:t>4</w:t>
      </w:r>
      <w:r w:rsidRPr="009557FC">
        <w:rPr>
          <w:sz w:val="22"/>
          <w:szCs w:val="22"/>
        </w:rPr>
        <w:t>, Marco Antônio Bento</w:t>
      </w:r>
      <w:r w:rsidRPr="0029486C">
        <w:rPr>
          <w:sz w:val="22"/>
          <w:szCs w:val="22"/>
          <w:vertAlign w:val="superscript"/>
        </w:rPr>
        <w:t>4</w:t>
      </w:r>
      <w:r w:rsidRPr="009557FC">
        <w:rPr>
          <w:sz w:val="22"/>
          <w:szCs w:val="22"/>
        </w:rPr>
        <w:t>, Manoela Drews de Aguiar</w:t>
      </w:r>
      <w:r w:rsidRPr="009557FC">
        <w:rPr>
          <w:rStyle w:val="FootnoteReference"/>
          <w:sz w:val="22"/>
          <w:szCs w:val="22"/>
        </w:rPr>
        <w:footnoteReference w:id="6"/>
      </w:r>
      <w:r w:rsidRPr="009557FC">
        <w:rPr>
          <w:sz w:val="22"/>
          <w:szCs w:val="22"/>
        </w:rPr>
        <w:t>.</w:t>
      </w:r>
    </w:p>
    <w:p w:rsidR="00FD3BBB" w:rsidRDefault="00FD3BBB" w:rsidP="00A64772">
      <w:pPr>
        <w:rPr>
          <w:sz w:val="20"/>
          <w:szCs w:val="20"/>
        </w:rPr>
      </w:pPr>
    </w:p>
    <w:p w:rsidR="00FD3BBB" w:rsidRDefault="00FD3BBB" w:rsidP="00A64772">
      <w:pPr>
        <w:rPr>
          <w:sz w:val="20"/>
          <w:szCs w:val="20"/>
        </w:rPr>
      </w:pPr>
    </w:p>
    <w:p w:rsidR="00FD3BBB" w:rsidRDefault="00FD3BBB" w:rsidP="00A64772">
      <w:pPr>
        <w:rPr>
          <w:i/>
          <w:sz w:val="20"/>
          <w:szCs w:val="20"/>
        </w:rPr>
      </w:pPr>
      <w:r>
        <w:rPr>
          <w:sz w:val="20"/>
          <w:szCs w:val="20"/>
        </w:rPr>
        <w:t>Palavras-chave: Floresta Ombrófila Mista, Planalto Sul Catarinense, Myrtaceae</w:t>
      </w:r>
    </w:p>
    <w:p w:rsidR="00FD3BBB" w:rsidRDefault="00FD3BBB" w:rsidP="00A64772">
      <w:pPr>
        <w:rPr>
          <w:color w:val="FF0000"/>
          <w:sz w:val="22"/>
          <w:szCs w:val="22"/>
        </w:rPr>
      </w:pPr>
    </w:p>
    <w:p w:rsidR="00FD3BBB" w:rsidRPr="00DE468B" w:rsidRDefault="00FD3BBB" w:rsidP="009232E7">
      <w:pPr>
        <w:ind w:right="-18"/>
        <w:rPr>
          <w:sz w:val="22"/>
          <w:szCs w:val="22"/>
        </w:rPr>
      </w:pPr>
      <w:r>
        <w:rPr>
          <w:sz w:val="22"/>
          <w:szCs w:val="22"/>
        </w:rPr>
        <w:t>O presente estudo objetivou a</w:t>
      </w:r>
      <w:r w:rsidRPr="00DE468B">
        <w:rPr>
          <w:sz w:val="22"/>
          <w:szCs w:val="22"/>
        </w:rPr>
        <w:t xml:space="preserve">nalisar a composição florística </w:t>
      </w:r>
      <w:r>
        <w:rPr>
          <w:sz w:val="22"/>
          <w:szCs w:val="22"/>
        </w:rPr>
        <w:t xml:space="preserve">e estrutural </w:t>
      </w:r>
      <w:r w:rsidRPr="00DE468B">
        <w:rPr>
          <w:sz w:val="22"/>
          <w:szCs w:val="22"/>
        </w:rPr>
        <w:t>da</w:t>
      </w:r>
      <w:r>
        <w:rPr>
          <w:sz w:val="22"/>
          <w:szCs w:val="22"/>
        </w:rPr>
        <w:t xml:space="preserve"> comunidade</w:t>
      </w:r>
      <w:r w:rsidRPr="00DE468B">
        <w:rPr>
          <w:sz w:val="22"/>
          <w:szCs w:val="22"/>
        </w:rPr>
        <w:t xml:space="preserve"> arbórea</w:t>
      </w:r>
      <w:r>
        <w:rPr>
          <w:sz w:val="22"/>
          <w:szCs w:val="22"/>
        </w:rPr>
        <w:t xml:space="preserve"> de</w:t>
      </w:r>
      <w:r w:rsidRPr="00DE468B">
        <w:rPr>
          <w:sz w:val="22"/>
          <w:szCs w:val="22"/>
        </w:rPr>
        <w:t xml:space="preserve"> um fragmento de Floresta Ombrófila Mista </w:t>
      </w:r>
      <w:r>
        <w:rPr>
          <w:sz w:val="22"/>
          <w:szCs w:val="22"/>
        </w:rPr>
        <w:t xml:space="preserve">(FOM) </w:t>
      </w:r>
      <w:r w:rsidRPr="00DE468B">
        <w:rPr>
          <w:sz w:val="22"/>
          <w:szCs w:val="22"/>
        </w:rPr>
        <w:t>na localidade da Coxilha Rica</w:t>
      </w:r>
      <w:r>
        <w:rPr>
          <w:sz w:val="22"/>
          <w:szCs w:val="22"/>
        </w:rPr>
        <w:t xml:space="preserve"> em Lages</w:t>
      </w:r>
      <w:r w:rsidRPr="00DE468B">
        <w:rPr>
          <w:sz w:val="22"/>
          <w:szCs w:val="22"/>
        </w:rPr>
        <w:t xml:space="preserve">, </w:t>
      </w:r>
      <w:r>
        <w:rPr>
          <w:sz w:val="22"/>
          <w:szCs w:val="22"/>
        </w:rPr>
        <w:t>SC</w:t>
      </w:r>
      <w:r w:rsidRPr="00DE468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E468B">
        <w:rPr>
          <w:sz w:val="22"/>
          <w:szCs w:val="22"/>
        </w:rPr>
        <w:t xml:space="preserve">Para </w:t>
      </w:r>
      <w:r>
        <w:rPr>
          <w:sz w:val="22"/>
          <w:szCs w:val="22"/>
        </w:rPr>
        <w:t>isso</w:t>
      </w:r>
      <w:r w:rsidRPr="00DE468B">
        <w:rPr>
          <w:sz w:val="22"/>
          <w:szCs w:val="22"/>
        </w:rPr>
        <w:t>, foram alocadas, de forma si</w:t>
      </w:r>
      <w:r>
        <w:rPr>
          <w:sz w:val="22"/>
          <w:szCs w:val="22"/>
        </w:rPr>
        <w:t>stemática, 50 parcelas de 10x20m (200</w:t>
      </w:r>
      <w:r w:rsidRPr="00DE468B">
        <w:rPr>
          <w:sz w:val="22"/>
          <w:szCs w:val="22"/>
        </w:rPr>
        <w:t>m</w:t>
      </w:r>
      <w:r w:rsidRPr="00DE468B">
        <w:rPr>
          <w:sz w:val="22"/>
          <w:szCs w:val="22"/>
          <w:vertAlign w:val="superscript"/>
        </w:rPr>
        <w:t>2</w:t>
      </w:r>
      <w:r w:rsidRPr="00DE468B">
        <w:rPr>
          <w:sz w:val="22"/>
          <w:szCs w:val="22"/>
        </w:rPr>
        <w:t>)</w:t>
      </w:r>
      <w:r>
        <w:rPr>
          <w:sz w:val="22"/>
          <w:szCs w:val="22"/>
        </w:rPr>
        <w:t xml:space="preserve"> em um remanescente florestal nessa localidade e, dentro das parcelas, foram </w:t>
      </w:r>
      <w:r w:rsidRPr="00DE468B">
        <w:rPr>
          <w:sz w:val="22"/>
          <w:szCs w:val="22"/>
        </w:rPr>
        <w:t xml:space="preserve">identificados </w:t>
      </w:r>
      <w:r>
        <w:rPr>
          <w:sz w:val="22"/>
          <w:szCs w:val="22"/>
        </w:rPr>
        <w:t xml:space="preserve">e mensurados (CAP - </w:t>
      </w:r>
      <w:r w:rsidRPr="00DE468B">
        <w:rPr>
          <w:sz w:val="22"/>
          <w:szCs w:val="22"/>
        </w:rPr>
        <w:t>circunferência à</w:t>
      </w:r>
      <w:r>
        <w:rPr>
          <w:sz w:val="22"/>
          <w:szCs w:val="22"/>
        </w:rPr>
        <w:t xml:space="preserve"> altura do peito, medida a 1,30</w:t>
      </w:r>
      <w:r w:rsidRPr="00DE468B">
        <w:rPr>
          <w:sz w:val="22"/>
          <w:szCs w:val="22"/>
        </w:rPr>
        <w:t>m do solo</w:t>
      </w:r>
      <w:r>
        <w:rPr>
          <w:sz w:val="22"/>
          <w:szCs w:val="22"/>
        </w:rPr>
        <w:t xml:space="preserve">) </w:t>
      </w:r>
      <w:r w:rsidRPr="00DE468B">
        <w:rPr>
          <w:sz w:val="22"/>
          <w:szCs w:val="22"/>
        </w:rPr>
        <w:t>os indivíduos arbór</w:t>
      </w:r>
      <w:r>
        <w:rPr>
          <w:sz w:val="22"/>
          <w:szCs w:val="22"/>
        </w:rPr>
        <w:t>eos que apresentaram CAP igual ou superior a 15,7</w:t>
      </w:r>
      <w:r w:rsidRPr="00DE468B">
        <w:rPr>
          <w:sz w:val="22"/>
          <w:szCs w:val="22"/>
        </w:rPr>
        <w:t xml:space="preserve">cm. </w:t>
      </w:r>
      <w:r>
        <w:rPr>
          <w:sz w:val="22"/>
          <w:szCs w:val="22"/>
        </w:rPr>
        <w:t>A suficiência amostral foi determinada pela curva de acumulação de espécies, pelo método de rarefação. Foram calculadas as estimativas fitossociológicas: densidades, frequências, dominâncias e Valores de Importância (VI). F</w:t>
      </w:r>
      <w:r w:rsidRPr="00DE468B">
        <w:rPr>
          <w:sz w:val="22"/>
          <w:szCs w:val="22"/>
        </w:rPr>
        <w:t>oram amostrados 1</w:t>
      </w:r>
      <w:r>
        <w:rPr>
          <w:sz w:val="22"/>
          <w:szCs w:val="22"/>
        </w:rPr>
        <w:t>.</w:t>
      </w:r>
      <w:r w:rsidRPr="00DE468B">
        <w:rPr>
          <w:sz w:val="22"/>
          <w:szCs w:val="22"/>
        </w:rPr>
        <w:t>447 indivíduos</w:t>
      </w:r>
      <w:r>
        <w:rPr>
          <w:sz w:val="22"/>
          <w:szCs w:val="22"/>
        </w:rPr>
        <w:t xml:space="preserve">, </w:t>
      </w:r>
      <w:r w:rsidRPr="00DE468B">
        <w:rPr>
          <w:sz w:val="22"/>
          <w:szCs w:val="22"/>
        </w:rPr>
        <w:t>distr</w:t>
      </w:r>
      <w:r>
        <w:rPr>
          <w:sz w:val="22"/>
          <w:szCs w:val="22"/>
        </w:rPr>
        <w:t>ibuídos em 28 famílias e</w:t>
      </w:r>
      <w:r w:rsidRPr="00DE468B">
        <w:rPr>
          <w:sz w:val="22"/>
          <w:szCs w:val="22"/>
        </w:rPr>
        <w:t xml:space="preserve"> 69 </w:t>
      </w:r>
      <w:r>
        <w:rPr>
          <w:sz w:val="22"/>
          <w:szCs w:val="22"/>
        </w:rPr>
        <w:t>espécies</w:t>
      </w:r>
      <w:r w:rsidRPr="00DE468B">
        <w:rPr>
          <w:sz w:val="22"/>
          <w:szCs w:val="22"/>
        </w:rPr>
        <w:t xml:space="preserve">. </w:t>
      </w:r>
      <w:r w:rsidRPr="00F41859">
        <w:rPr>
          <w:sz w:val="22"/>
          <w:szCs w:val="22"/>
        </w:rPr>
        <w:t>A curva de acumulação de espécies tendeu à estabilidade, sendo que, com a inclusão da última parcela, houve um aumento de apenas 0,58% na riqueza de espécies.</w:t>
      </w:r>
      <w:r>
        <w:rPr>
          <w:sz w:val="22"/>
          <w:szCs w:val="22"/>
        </w:rPr>
        <w:t xml:space="preserve"> </w:t>
      </w:r>
      <w:r w:rsidRPr="00DE468B">
        <w:rPr>
          <w:sz w:val="22"/>
          <w:szCs w:val="22"/>
        </w:rPr>
        <w:t>A família mais representativa da área do fragmento quanto ao número de espécies foi Myrtaceae, com 19 espécies, seguida por Asteraceae</w:t>
      </w:r>
      <w:r>
        <w:rPr>
          <w:sz w:val="22"/>
          <w:szCs w:val="22"/>
        </w:rPr>
        <w:t>,</w:t>
      </w:r>
      <w:r w:rsidRPr="00DE468B">
        <w:rPr>
          <w:sz w:val="22"/>
          <w:szCs w:val="22"/>
        </w:rPr>
        <w:t xml:space="preserve"> com seis. Myrtaceae </w:t>
      </w:r>
      <w:r>
        <w:rPr>
          <w:sz w:val="22"/>
          <w:szCs w:val="22"/>
        </w:rPr>
        <w:t>também obteve o maior número de indivíduos (</w:t>
      </w:r>
      <w:r w:rsidRPr="00DE468B">
        <w:rPr>
          <w:sz w:val="22"/>
          <w:szCs w:val="22"/>
        </w:rPr>
        <w:t>522</w:t>
      </w:r>
      <w:r>
        <w:rPr>
          <w:sz w:val="22"/>
          <w:szCs w:val="22"/>
        </w:rPr>
        <w:t>)</w:t>
      </w:r>
      <w:r w:rsidRPr="00DE468B">
        <w:rPr>
          <w:sz w:val="22"/>
          <w:szCs w:val="22"/>
        </w:rPr>
        <w:t xml:space="preserve">, seguida por Euphorbiaceae </w:t>
      </w:r>
      <w:r>
        <w:rPr>
          <w:sz w:val="22"/>
          <w:szCs w:val="22"/>
        </w:rPr>
        <w:t>(</w:t>
      </w:r>
      <w:r w:rsidRPr="00DE468B">
        <w:rPr>
          <w:sz w:val="22"/>
          <w:szCs w:val="22"/>
        </w:rPr>
        <w:t>199</w:t>
      </w:r>
      <w:r>
        <w:rPr>
          <w:sz w:val="22"/>
          <w:szCs w:val="22"/>
        </w:rPr>
        <w:t>)</w:t>
      </w:r>
      <w:r w:rsidRPr="00DE468B">
        <w:rPr>
          <w:sz w:val="22"/>
          <w:szCs w:val="22"/>
        </w:rPr>
        <w:t xml:space="preserve"> e Araucariaceae </w:t>
      </w:r>
      <w:r>
        <w:rPr>
          <w:sz w:val="22"/>
          <w:szCs w:val="22"/>
        </w:rPr>
        <w:t>(</w:t>
      </w:r>
      <w:r w:rsidRPr="00DE468B">
        <w:rPr>
          <w:sz w:val="22"/>
          <w:szCs w:val="22"/>
        </w:rPr>
        <w:t>122</w:t>
      </w:r>
      <w:r>
        <w:rPr>
          <w:sz w:val="22"/>
          <w:szCs w:val="22"/>
        </w:rPr>
        <w:t>)</w:t>
      </w:r>
      <w:r w:rsidRPr="00DE468B">
        <w:rPr>
          <w:sz w:val="22"/>
          <w:szCs w:val="22"/>
        </w:rPr>
        <w:t xml:space="preserve">. As espécies com maior </w:t>
      </w:r>
      <w:r>
        <w:rPr>
          <w:sz w:val="22"/>
          <w:szCs w:val="22"/>
        </w:rPr>
        <w:t xml:space="preserve">VI foram </w:t>
      </w:r>
      <w:r w:rsidRPr="00DE468B">
        <w:rPr>
          <w:i/>
          <w:sz w:val="22"/>
          <w:szCs w:val="22"/>
        </w:rPr>
        <w:t>Myrcia guianensis</w:t>
      </w:r>
      <w:r w:rsidRPr="00DE468B">
        <w:rPr>
          <w:i/>
          <w:iCs/>
          <w:sz w:val="22"/>
          <w:szCs w:val="22"/>
        </w:rPr>
        <w:t xml:space="preserve"> </w:t>
      </w:r>
      <w:r w:rsidRPr="00F41859">
        <w:rPr>
          <w:iCs/>
          <w:sz w:val="22"/>
          <w:szCs w:val="22"/>
        </w:rPr>
        <w:t xml:space="preserve">(Aubl.) DC. </w:t>
      </w:r>
      <w:r>
        <w:rPr>
          <w:sz w:val="22"/>
          <w:szCs w:val="22"/>
        </w:rPr>
        <w:t xml:space="preserve">(10,44%), </w:t>
      </w:r>
      <w:r w:rsidRPr="00DE468B">
        <w:rPr>
          <w:i/>
          <w:sz w:val="22"/>
          <w:szCs w:val="22"/>
        </w:rPr>
        <w:t>Araucaria angustifolia</w:t>
      </w:r>
      <w:r>
        <w:rPr>
          <w:sz w:val="22"/>
          <w:szCs w:val="22"/>
        </w:rPr>
        <w:t xml:space="preserve"> </w:t>
      </w:r>
      <w:r w:rsidRPr="00F41859">
        <w:rPr>
          <w:sz w:val="22"/>
          <w:szCs w:val="22"/>
        </w:rPr>
        <w:t xml:space="preserve">(Bertol.) Kuntze </w:t>
      </w:r>
      <w:r>
        <w:rPr>
          <w:sz w:val="22"/>
          <w:szCs w:val="22"/>
        </w:rPr>
        <w:t xml:space="preserve">(8,76%) e </w:t>
      </w:r>
      <w:r w:rsidRPr="00DE468B">
        <w:rPr>
          <w:i/>
          <w:sz w:val="22"/>
          <w:szCs w:val="22"/>
        </w:rPr>
        <w:t>Sebastiania commersoniana</w:t>
      </w:r>
      <w:r>
        <w:rPr>
          <w:sz w:val="22"/>
          <w:szCs w:val="22"/>
        </w:rPr>
        <w:t xml:space="preserve"> </w:t>
      </w:r>
      <w:r w:rsidRPr="00F41859">
        <w:rPr>
          <w:sz w:val="22"/>
          <w:szCs w:val="22"/>
        </w:rPr>
        <w:t xml:space="preserve">(Baill.) L.B. Sm. &amp; Downs </w:t>
      </w:r>
      <w:r>
        <w:rPr>
          <w:sz w:val="22"/>
          <w:szCs w:val="22"/>
        </w:rPr>
        <w:t xml:space="preserve">(8,39%). </w:t>
      </w:r>
      <w:r w:rsidRPr="00DE468B">
        <w:rPr>
          <w:i/>
          <w:sz w:val="22"/>
          <w:szCs w:val="22"/>
        </w:rPr>
        <w:t>Myrcia guianensis</w:t>
      </w:r>
      <w:r w:rsidRPr="00DE468B">
        <w:rPr>
          <w:sz w:val="22"/>
          <w:szCs w:val="22"/>
        </w:rPr>
        <w:t xml:space="preserve"> </w:t>
      </w:r>
      <w:r>
        <w:rPr>
          <w:sz w:val="22"/>
          <w:szCs w:val="22"/>
        </w:rPr>
        <w:t>obteve a maior importância devido à alta densidade (158 indivíduos), elevada dominância (5,14m</w:t>
      </w:r>
      <w:r w:rsidRPr="00537A2A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/ha) e considerável frequência nas parcelas (84%). </w:t>
      </w:r>
      <w:r w:rsidRPr="00DE468B">
        <w:rPr>
          <w:sz w:val="22"/>
          <w:szCs w:val="22"/>
        </w:rPr>
        <w:t>Os resultados demonstraram que a composição florística é típica da</w:t>
      </w:r>
      <w:r>
        <w:rPr>
          <w:sz w:val="22"/>
          <w:szCs w:val="22"/>
        </w:rPr>
        <w:t xml:space="preserve"> FOM</w:t>
      </w:r>
      <w:r w:rsidRPr="00DE468B">
        <w:rPr>
          <w:sz w:val="22"/>
          <w:szCs w:val="22"/>
        </w:rPr>
        <w:t xml:space="preserve">, com abundância de </w:t>
      </w:r>
      <w:r w:rsidRPr="00DE468B">
        <w:rPr>
          <w:i/>
          <w:sz w:val="22"/>
          <w:szCs w:val="22"/>
        </w:rPr>
        <w:t xml:space="preserve">Araucaria agunstifolia </w:t>
      </w:r>
      <w:r w:rsidRPr="00DE468B">
        <w:rPr>
          <w:sz w:val="22"/>
          <w:szCs w:val="22"/>
        </w:rPr>
        <w:t>e elevada riqueza de Myrtaceae.</w:t>
      </w:r>
    </w:p>
    <w:p w:rsidR="00FD3BBB" w:rsidRPr="006D4FB2" w:rsidRDefault="00FD3BBB" w:rsidP="00A64772">
      <w:pPr>
        <w:pStyle w:val="BodyText"/>
        <w:rPr>
          <w:b/>
        </w:rPr>
      </w:pPr>
    </w:p>
    <w:p w:rsidR="00FD3BBB" w:rsidRDefault="00FD3BBB"/>
    <w:sectPr w:rsidR="00FD3BBB" w:rsidSect="004F1085">
      <w:headerReference w:type="default" r:id="rId6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BBB" w:rsidRDefault="00FD3BBB" w:rsidP="00A64772">
      <w:r>
        <w:separator/>
      </w:r>
    </w:p>
  </w:endnote>
  <w:endnote w:type="continuationSeparator" w:id="0">
    <w:p w:rsidR="00FD3BBB" w:rsidRDefault="00FD3BBB" w:rsidP="00A6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BBB" w:rsidRDefault="00FD3BBB" w:rsidP="00A64772">
      <w:r>
        <w:separator/>
      </w:r>
    </w:p>
  </w:footnote>
  <w:footnote w:type="continuationSeparator" w:id="0">
    <w:p w:rsidR="00FD3BBB" w:rsidRDefault="00FD3BBB" w:rsidP="00A64772">
      <w:r>
        <w:continuationSeparator/>
      </w:r>
    </w:p>
  </w:footnote>
  <w:footnote w:id="1">
    <w:p w:rsidR="00FD3BBB" w:rsidRDefault="00FD3BBB" w:rsidP="00A64772">
      <w:pPr>
        <w:pStyle w:val="EndnoteText"/>
      </w:pPr>
      <w:r>
        <w:rPr>
          <w:rStyle w:val="FootnoteReference"/>
        </w:rPr>
        <w:footnoteRef/>
      </w:r>
      <w:r>
        <w:t xml:space="preserve"> Orientadora, Professora do Departamento de Engenharia Florestal CAV-UDESC – </w:t>
      </w:r>
      <w:r w:rsidRPr="007E4D3D">
        <w:rPr>
          <w:color w:val="000000"/>
          <w:shd w:val="clear" w:color="auto" w:fill="FFFFFF"/>
        </w:rPr>
        <w:t>carol_sil4@yahoo.com.br</w:t>
      </w:r>
      <w:r w:rsidRPr="007E4D3D">
        <w:t>.</w:t>
      </w:r>
    </w:p>
  </w:footnote>
  <w:footnote w:id="2">
    <w:p w:rsidR="00FD3BBB" w:rsidRDefault="00FD3BBB" w:rsidP="00A6477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>Acadêmico do Curso de Engenharia Florestal CAV-UDESC, bolsista de iniciação científica PROBIC/UDESC.</w:t>
      </w:r>
    </w:p>
  </w:footnote>
  <w:footnote w:id="3">
    <w:p w:rsidR="00FD3BBB" w:rsidRDefault="00FD3BBB" w:rsidP="00A6477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>Professor Participante do Departamento de Engenharia Florestal CAV-UDESC.</w:t>
      </w:r>
    </w:p>
  </w:footnote>
  <w:footnote w:id="4">
    <w:p w:rsidR="00FD3BBB" w:rsidRDefault="00FD3BBB" w:rsidP="0029486C">
      <w:pPr>
        <w:pStyle w:val="FootnoteText"/>
      </w:pPr>
      <w:r w:rsidRPr="00265295">
        <w:rPr>
          <w:rStyle w:val="FootnoteReference"/>
        </w:rPr>
        <w:footnoteRef/>
      </w:r>
      <w:r w:rsidRPr="00265295">
        <w:t xml:space="preserve"> Acadêmico</w:t>
      </w:r>
      <w:r>
        <w:t>s</w:t>
      </w:r>
      <w:r w:rsidRPr="00265295">
        <w:t xml:space="preserve"> do Curso de Engenharia Florestal – CAV-UDESC.</w:t>
      </w:r>
    </w:p>
  </w:footnote>
  <w:footnote w:id="5">
    <w:p w:rsidR="00FD3BBB" w:rsidRDefault="00FD3BBB" w:rsidP="00A6477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 xml:space="preserve">Mestrando do Curso de Engenharia Florestal – </w:t>
      </w:r>
      <w:r w:rsidRPr="00265295">
        <w:t>CAV-UDESC.</w:t>
      </w:r>
    </w:p>
  </w:footnote>
  <w:footnote w:id="6">
    <w:p w:rsidR="00FD3BBB" w:rsidRDefault="00FD3BBB" w:rsidP="004F1085">
      <w:pPr>
        <w:pStyle w:val="FootnoteText"/>
      </w:pPr>
      <w:r w:rsidRPr="00265295">
        <w:rPr>
          <w:rStyle w:val="FootnoteReference"/>
        </w:rPr>
        <w:footnoteRef/>
      </w:r>
      <w:r w:rsidRPr="00265295">
        <w:t xml:space="preserve"> Mestranda do Curso de </w:t>
      </w:r>
      <w:r>
        <w:t>Engenharia Florestal</w:t>
      </w:r>
      <w:r w:rsidRPr="00265295">
        <w:t xml:space="preserve"> – FURB.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BB" w:rsidRDefault="00FD3BBB" w:rsidP="00553A64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 w:rsidRPr="008751E3">
      <w:rPr>
        <w:noProof/>
      </w:rPr>
      <w:pict>
        <v:shape id="Imagem 1" o:spid="_x0000_i1026" type="#_x0000_t75" style="width:189pt;height:51pt;visibility:visible">
          <v:imagedata r:id="rId2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772"/>
    <w:rsid w:val="000148B1"/>
    <w:rsid w:val="000417E2"/>
    <w:rsid w:val="00090B7E"/>
    <w:rsid w:val="000D4EE9"/>
    <w:rsid w:val="000E1A11"/>
    <w:rsid w:val="0013023E"/>
    <w:rsid w:val="0018374C"/>
    <w:rsid w:val="001871E1"/>
    <w:rsid w:val="001A3805"/>
    <w:rsid w:val="001D13A7"/>
    <w:rsid w:val="00225F4E"/>
    <w:rsid w:val="00233470"/>
    <w:rsid w:val="0023774B"/>
    <w:rsid w:val="002558A3"/>
    <w:rsid w:val="00265173"/>
    <w:rsid w:val="00265295"/>
    <w:rsid w:val="0029486C"/>
    <w:rsid w:val="002A1E2A"/>
    <w:rsid w:val="0036346F"/>
    <w:rsid w:val="003C3D3B"/>
    <w:rsid w:val="00437058"/>
    <w:rsid w:val="004772EE"/>
    <w:rsid w:val="004F1085"/>
    <w:rsid w:val="00537A2A"/>
    <w:rsid w:val="00553A64"/>
    <w:rsid w:val="00602A34"/>
    <w:rsid w:val="00637EE7"/>
    <w:rsid w:val="006A5D49"/>
    <w:rsid w:val="006D4FB2"/>
    <w:rsid w:val="0079522B"/>
    <w:rsid w:val="007E4D3D"/>
    <w:rsid w:val="0080064E"/>
    <w:rsid w:val="00813D17"/>
    <w:rsid w:val="00836458"/>
    <w:rsid w:val="00845FED"/>
    <w:rsid w:val="008751E3"/>
    <w:rsid w:val="008D23AD"/>
    <w:rsid w:val="008F2113"/>
    <w:rsid w:val="009131DD"/>
    <w:rsid w:val="009232E7"/>
    <w:rsid w:val="009407ED"/>
    <w:rsid w:val="00944D3D"/>
    <w:rsid w:val="009557FC"/>
    <w:rsid w:val="009B5D0C"/>
    <w:rsid w:val="009C7427"/>
    <w:rsid w:val="00A22197"/>
    <w:rsid w:val="00A36393"/>
    <w:rsid w:val="00A626A0"/>
    <w:rsid w:val="00A64772"/>
    <w:rsid w:val="00AC77F0"/>
    <w:rsid w:val="00B11B3A"/>
    <w:rsid w:val="00B23D77"/>
    <w:rsid w:val="00BD1F7E"/>
    <w:rsid w:val="00C14FDD"/>
    <w:rsid w:val="00C44F82"/>
    <w:rsid w:val="00C87EDE"/>
    <w:rsid w:val="00D02487"/>
    <w:rsid w:val="00D40C8D"/>
    <w:rsid w:val="00D539D7"/>
    <w:rsid w:val="00D96BF5"/>
    <w:rsid w:val="00DE04B7"/>
    <w:rsid w:val="00DE468B"/>
    <w:rsid w:val="00DF1E26"/>
    <w:rsid w:val="00EA1E7E"/>
    <w:rsid w:val="00F41859"/>
    <w:rsid w:val="00FD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locked/>
    <w:rsid w:val="004F108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4F1085"/>
    <w:rPr>
      <w:rFonts w:ascii="Times New Roman" w:hAnsi="Times New Roman"/>
      <w:b/>
      <w:sz w:val="36"/>
    </w:rPr>
  </w:style>
  <w:style w:type="paragraph" w:styleId="BalloonText">
    <w:name w:val="Balloon Text"/>
    <w:basedOn w:val="Normal"/>
    <w:link w:val="BalloonTextChar"/>
    <w:uiPriority w:val="99"/>
    <w:semiHidden/>
    <w:rsid w:val="00A64772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4772"/>
    <w:rPr>
      <w:rFonts w:ascii="Tahoma" w:hAnsi="Tahoma"/>
      <w:sz w:val="16"/>
      <w:lang w:eastAsia="pt-BR"/>
    </w:rPr>
  </w:style>
  <w:style w:type="paragraph" w:styleId="BodyText">
    <w:name w:val="Body Text"/>
    <w:basedOn w:val="Normal"/>
    <w:link w:val="BodyText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64772"/>
    <w:rPr>
      <w:rFonts w:ascii="Tahoma" w:hAnsi="Tahoma"/>
      <w:color w:val="FF0000"/>
      <w:sz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64772"/>
    <w:rPr>
      <w:rFonts w:ascii="Times New Roman" w:hAnsi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rsid w:val="00A64772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A64772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64772"/>
    <w:rPr>
      <w:rFonts w:ascii="Times New Roman" w:hAnsi="Times New Roman"/>
      <w:sz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2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333</Words>
  <Characters>1802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Magro</dc:creator>
  <cp:keywords/>
  <dc:description/>
  <cp:lastModifiedBy>Rosiris</cp:lastModifiedBy>
  <cp:revision>3</cp:revision>
  <dcterms:created xsi:type="dcterms:W3CDTF">2013-07-02T15:36:00Z</dcterms:created>
  <dcterms:modified xsi:type="dcterms:W3CDTF">2013-07-27T20:14:00Z</dcterms:modified>
</cp:coreProperties>
</file>