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7F04" w:rsidRDefault="006A7F04" w:rsidP="00DF7C0D">
      <w:pPr>
        <w:tabs>
          <w:tab w:val="left" w:pos="284"/>
        </w:tabs>
        <w:rPr>
          <w:b/>
          <w:color w:val="FF0000"/>
          <w:sz w:val="20"/>
          <w:szCs w:val="20"/>
        </w:rPr>
      </w:pPr>
    </w:p>
    <w:p w:rsidR="006A7F04" w:rsidRDefault="006A7F04" w:rsidP="00DF7C0D">
      <w:pPr>
        <w:tabs>
          <w:tab w:val="left" w:pos="284"/>
        </w:tabs>
        <w:rPr>
          <w:b/>
          <w:color w:val="FF0000"/>
          <w:sz w:val="20"/>
          <w:szCs w:val="20"/>
        </w:rPr>
      </w:pPr>
    </w:p>
    <w:p w:rsidR="006A7F04" w:rsidRPr="00DF7C0D" w:rsidRDefault="006A7F04" w:rsidP="00DF7C0D">
      <w:pPr>
        <w:tabs>
          <w:tab w:val="left" w:pos="284"/>
        </w:tabs>
        <w:rPr>
          <w:b/>
          <w:color w:val="FF0000"/>
          <w:sz w:val="20"/>
          <w:szCs w:val="20"/>
        </w:rPr>
      </w:pPr>
    </w:p>
    <w:p w:rsidR="006A7F04" w:rsidRDefault="006A7F04" w:rsidP="007B6A33">
      <w:pPr>
        <w:pStyle w:val="Title"/>
        <w:rPr>
          <w:i/>
          <w:caps w:val="0"/>
          <w:sz w:val="24"/>
        </w:rPr>
      </w:pPr>
      <w:r w:rsidRPr="00D253C5">
        <w:rPr>
          <w:caps w:val="0"/>
          <w:sz w:val="24"/>
        </w:rPr>
        <w:t xml:space="preserve">Efeito da incorporação de falha de pinhão nas propriedades físicas de painéis de madeira aglomerada de </w:t>
      </w:r>
      <w:r w:rsidRPr="00D253C5">
        <w:rPr>
          <w:i/>
          <w:caps w:val="0"/>
          <w:sz w:val="24"/>
        </w:rPr>
        <w:t>Eucalyptus dunnii</w:t>
      </w:r>
    </w:p>
    <w:p w:rsidR="006A7F04" w:rsidRDefault="006A7F04" w:rsidP="00A64772">
      <w:pPr>
        <w:rPr>
          <w:color w:val="FF0000"/>
          <w:sz w:val="20"/>
        </w:rPr>
      </w:pPr>
    </w:p>
    <w:p w:rsidR="006A7F04" w:rsidRDefault="006A7F04" w:rsidP="0023768D">
      <w:pPr>
        <w:pStyle w:val="Padro"/>
        <w:jc w:val="center"/>
        <w:rPr>
          <w:sz w:val="22"/>
          <w:szCs w:val="22"/>
        </w:rPr>
      </w:pPr>
      <w:r>
        <w:rPr>
          <w:sz w:val="22"/>
          <w:szCs w:val="22"/>
        </w:rPr>
        <w:t>Alexsandro Bayestorff da Cunha</w:t>
      </w:r>
      <w:r w:rsidRPr="003E285C">
        <w:rPr>
          <w:rStyle w:val="FootnoteReference"/>
          <w:sz w:val="22"/>
          <w:szCs w:val="22"/>
        </w:rPr>
        <w:footnoteReference w:id="1"/>
      </w:r>
      <w:r w:rsidRPr="003E285C">
        <w:rPr>
          <w:sz w:val="22"/>
          <w:szCs w:val="22"/>
        </w:rPr>
        <w:t xml:space="preserve">, </w:t>
      </w:r>
      <w:r>
        <w:rPr>
          <w:sz w:val="22"/>
          <w:szCs w:val="22"/>
        </w:rPr>
        <w:t>André Luiz de Souza Brighenti</w:t>
      </w:r>
      <w:r w:rsidRPr="003E285C">
        <w:rPr>
          <w:rStyle w:val="FootnoteReference"/>
          <w:sz w:val="22"/>
          <w:szCs w:val="22"/>
        </w:rPr>
        <w:footnoteReference w:id="2"/>
      </w:r>
      <w:r w:rsidRPr="003E285C">
        <w:rPr>
          <w:sz w:val="22"/>
          <w:szCs w:val="22"/>
        </w:rPr>
        <w:t xml:space="preserve">, </w:t>
      </w:r>
      <w:r>
        <w:rPr>
          <w:sz w:val="22"/>
          <w:szCs w:val="22"/>
        </w:rPr>
        <w:t>Polliana D´Angelo Rios</w:t>
      </w:r>
      <w:r>
        <w:rPr>
          <w:sz w:val="22"/>
          <w:szCs w:val="22"/>
          <w:vertAlign w:val="superscript"/>
        </w:rPr>
        <w:t>3</w:t>
      </w:r>
      <w:r>
        <w:rPr>
          <w:sz w:val="22"/>
          <w:szCs w:val="22"/>
        </w:rPr>
        <w:t>,</w:t>
      </w:r>
    </w:p>
    <w:p w:rsidR="006A7F04" w:rsidRPr="007B6A33" w:rsidRDefault="006A7F04" w:rsidP="0023768D">
      <w:pPr>
        <w:pStyle w:val="Padro"/>
        <w:jc w:val="center"/>
        <w:rPr>
          <w:sz w:val="22"/>
          <w:szCs w:val="22"/>
          <w:lang w:val="en-US"/>
        </w:rPr>
      </w:pPr>
      <w:r w:rsidRPr="007B6A33">
        <w:rPr>
          <w:sz w:val="22"/>
          <w:szCs w:val="22"/>
          <w:lang w:val="en-US"/>
        </w:rPr>
        <w:t>Martha Andreia Brand</w:t>
      </w:r>
      <w:r w:rsidRPr="007B6A33">
        <w:rPr>
          <w:sz w:val="22"/>
          <w:szCs w:val="22"/>
          <w:vertAlign w:val="superscript"/>
          <w:lang w:val="en-US"/>
        </w:rPr>
        <w:t xml:space="preserve"> </w:t>
      </w:r>
      <w:r w:rsidRPr="003E285C">
        <w:rPr>
          <w:rStyle w:val="FootnoteReference"/>
          <w:sz w:val="22"/>
          <w:szCs w:val="22"/>
        </w:rPr>
        <w:footnoteReference w:id="3"/>
      </w:r>
      <w:r w:rsidRPr="007B6A33">
        <w:rPr>
          <w:sz w:val="22"/>
          <w:szCs w:val="22"/>
          <w:lang w:val="en-US"/>
        </w:rPr>
        <w:t>, Lisiane Nunes Hugen</w:t>
      </w:r>
      <w:r w:rsidRPr="007B6A33">
        <w:rPr>
          <w:sz w:val="22"/>
          <w:szCs w:val="22"/>
          <w:vertAlign w:val="superscript"/>
          <w:lang w:val="en-US"/>
        </w:rPr>
        <w:t>4</w:t>
      </w:r>
      <w:r w:rsidRPr="007B6A33">
        <w:rPr>
          <w:sz w:val="22"/>
          <w:szCs w:val="22"/>
          <w:lang w:val="en-US"/>
        </w:rPr>
        <w:t>.</w:t>
      </w:r>
    </w:p>
    <w:p w:rsidR="006A7F04" w:rsidRDefault="006A7F04" w:rsidP="00A64772">
      <w:pPr>
        <w:rPr>
          <w:lang w:val="en-US"/>
        </w:rPr>
      </w:pPr>
    </w:p>
    <w:p w:rsidR="006A7F04" w:rsidRPr="007B6A33" w:rsidRDefault="006A7F04" w:rsidP="00A64772">
      <w:pPr>
        <w:rPr>
          <w:lang w:val="en-US"/>
        </w:rPr>
      </w:pPr>
    </w:p>
    <w:p w:rsidR="006A7F04" w:rsidRDefault="006A7F04" w:rsidP="0023768D">
      <w:pPr>
        <w:rPr>
          <w:color w:val="3366FF"/>
          <w:sz w:val="20"/>
          <w:szCs w:val="20"/>
        </w:rPr>
      </w:pPr>
      <w:r>
        <w:rPr>
          <w:sz w:val="20"/>
          <w:szCs w:val="20"/>
        </w:rPr>
        <w:t>Palavras-chave: Falha de pinhão, Painéis de partículas de média densidade, Propriedades tecnológicas.</w:t>
      </w:r>
    </w:p>
    <w:p w:rsidR="006A7F04" w:rsidRDefault="006A7F04" w:rsidP="00A64772">
      <w:pPr>
        <w:rPr>
          <w:sz w:val="22"/>
          <w:szCs w:val="22"/>
        </w:rPr>
      </w:pPr>
    </w:p>
    <w:p w:rsidR="006A7F04" w:rsidRPr="003F77EB" w:rsidRDefault="006A7F04" w:rsidP="00FB4D2B">
      <w:pPr>
        <w:pStyle w:val="BodyText"/>
        <w:spacing w:line="240" w:lineRule="auto"/>
        <w:jc w:val="left"/>
        <w:rPr>
          <w:rFonts w:ascii="Times New Roman" w:hAnsi="Times New Roman"/>
          <w:b/>
          <w:color w:val="000000"/>
          <w:sz w:val="22"/>
        </w:rPr>
      </w:pPr>
      <w:r w:rsidRPr="003F77EB">
        <w:rPr>
          <w:rFonts w:ascii="Times New Roman" w:hAnsi="Times New Roman"/>
          <w:color w:val="000000"/>
          <w:sz w:val="22"/>
          <w:szCs w:val="22"/>
        </w:rPr>
        <w:t xml:space="preserve">O objetivo do estudo foi avaliar o efeito da adição da falha de pinhão nas propriedades físicas de painéis aglomerados produzidos com </w:t>
      </w:r>
      <w:r w:rsidRPr="003F77EB">
        <w:rPr>
          <w:rFonts w:ascii="Times New Roman" w:hAnsi="Times New Roman"/>
          <w:i/>
          <w:color w:val="000000"/>
          <w:sz w:val="22"/>
          <w:szCs w:val="22"/>
        </w:rPr>
        <w:t xml:space="preserve">Eucalyptus dunnii. </w:t>
      </w:r>
      <w:r w:rsidRPr="003F77EB"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3F77EB">
        <w:rPr>
          <w:rFonts w:ascii="Times New Roman" w:hAnsi="Times New Roman"/>
          <w:caps/>
          <w:color w:val="000000"/>
          <w:sz w:val="22"/>
          <w:szCs w:val="22"/>
        </w:rPr>
        <w:t>F</w:t>
      </w:r>
      <w:r w:rsidRPr="003F77EB">
        <w:rPr>
          <w:rFonts w:ascii="Times New Roman" w:hAnsi="Times New Roman"/>
          <w:color w:val="000000"/>
          <w:sz w:val="22"/>
          <w:szCs w:val="22"/>
          <w:lang w:eastAsia="en-US"/>
        </w:rPr>
        <w:t xml:space="preserve">oram utilizadas toras de </w:t>
      </w:r>
      <w:r w:rsidRPr="003F77EB">
        <w:rPr>
          <w:rFonts w:ascii="Times New Roman" w:hAnsi="Times New Roman"/>
          <w:i/>
          <w:color w:val="000000"/>
          <w:sz w:val="22"/>
          <w:szCs w:val="22"/>
          <w:lang w:eastAsia="en-US"/>
        </w:rPr>
        <w:t>Eucalyptus dunnii</w:t>
      </w:r>
      <w:r w:rsidRPr="003F77EB">
        <w:rPr>
          <w:rFonts w:ascii="Times New Roman" w:hAnsi="Times New Roman"/>
          <w:color w:val="000000"/>
          <w:sz w:val="22"/>
          <w:szCs w:val="22"/>
          <w:lang w:eastAsia="en-US"/>
        </w:rPr>
        <w:t xml:space="preserve"> e falhas de pinhão coletadas em propriedades rurais de Painel-SC. As toras foram descascadas, processadas em partículas e classificadas </w:t>
      </w:r>
      <w:smartTag w:uri="urn:schemas-microsoft-com:office:smarttags" w:element="PersonName">
        <w:smartTagPr>
          <w:attr w:name="ProductID" w:val="em peneiras. Já"/>
        </w:smartTagPr>
        <w:r w:rsidRPr="003F77EB">
          <w:rPr>
            <w:rFonts w:ascii="Times New Roman" w:hAnsi="Times New Roman"/>
            <w:color w:val="000000"/>
            <w:sz w:val="22"/>
            <w:szCs w:val="22"/>
            <w:lang w:eastAsia="en-US"/>
          </w:rPr>
          <w:t>em peneiras. Já</w:t>
        </w:r>
      </w:smartTag>
      <w:r w:rsidRPr="003F77EB">
        <w:rPr>
          <w:rFonts w:ascii="Times New Roman" w:hAnsi="Times New Roman"/>
          <w:color w:val="000000"/>
          <w:sz w:val="22"/>
          <w:szCs w:val="22"/>
          <w:lang w:eastAsia="en-US"/>
        </w:rPr>
        <w:t xml:space="preserve"> as falhas foram utilizadas inteiras. Os materiais foram secos até 4% de umidade. O adesivo utilizado na produção dos painéis foi composto pela resina uréia formaldeído e pela emulsão de parafina.  Os tratamentos foram caracterizados por diferentes proporções de falha de pinhão em relação às partículas de </w:t>
      </w:r>
      <w:r w:rsidRPr="003F77EB">
        <w:rPr>
          <w:rFonts w:ascii="Times New Roman" w:hAnsi="Times New Roman"/>
          <w:i/>
          <w:color w:val="000000"/>
          <w:sz w:val="22"/>
          <w:szCs w:val="22"/>
          <w:lang w:eastAsia="en-US"/>
        </w:rPr>
        <w:t>E. dunnii</w:t>
      </w:r>
      <w:r w:rsidRPr="003F77EB">
        <w:rPr>
          <w:rFonts w:ascii="Times New Roman" w:hAnsi="Times New Roman"/>
          <w:color w:val="000000"/>
          <w:sz w:val="22"/>
          <w:szCs w:val="22"/>
          <w:lang w:eastAsia="en-US"/>
        </w:rPr>
        <w:t>, sendo: T1: 100%</w:t>
      </w:r>
      <w:r w:rsidRPr="003F77EB">
        <w:rPr>
          <w:rFonts w:ascii="Times New Roman" w:hAnsi="Times New Roman"/>
          <w:i/>
          <w:color w:val="000000"/>
          <w:sz w:val="22"/>
          <w:szCs w:val="22"/>
          <w:lang w:eastAsia="en-US"/>
        </w:rPr>
        <w:t xml:space="preserve"> E. dunnii</w:t>
      </w:r>
      <w:r w:rsidRPr="003F77EB">
        <w:rPr>
          <w:rFonts w:ascii="Times New Roman" w:hAnsi="Times New Roman"/>
          <w:color w:val="000000"/>
          <w:sz w:val="22"/>
          <w:szCs w:val="22"/>
          <w:lang w:eastAsia="en-US"/>
        </w:rPr>
        <w:t xml:space="preserve">, T2: 75% </w:t>
      </w:r>
      <w:r w:rsidRPr="003F77EB">
        <w:rPr>
          <w:rFonts w:ascii="Times New Roman" w:hAnsi="Times New Roman"/>
          <w:i/>
          <w:color w:val="000000"/>
          <w:sz w:val="22"/>
          <w:szCs w:val="22"/>
          <w:lang w:eastAsia="en-US"/>
        </w:rPr>
        <w:t>E. dunnii</w:t>
      </w:r>
      <w:r w:rsidRPr="003F77EB">
        <w:rPr>
          <w:rFonts w:ascii="Times New Roman" w:hAnsi="Times New Roman"/>
          <w:color w:val="000000"/>
          <w:sz w:val="22"/>
          <w:szCs w:val="22"/>
          <w:lang w:eastAsia="en-US"/>
        </w:rPr>
        <w:t xml:space="preserve"> + 25% falha, T3: 50% </w:t>
      </w:r>
      <w:r w:rsidRPr="003F77EB">
        <w:rPr>
          <w:rFonts w:ascii="Times New Roman" w:hAnsi="Times New Roman"/>
          <w:i/>
          <w:color w:val="000000"/>
          <w:sz w:val="22"/>
          <w:szCs w:val="22"/>
          <w:lang w:eastAsia="en-US"/>
        </w:rPr>
        <w:t>E. dunnii</w:t>
      </w:r>
      <w:r w:rsidRPr="003F77EB">
        <w:rPr>
          <w:rFonts w:ascii="Times New Roman" w:hAnsi="Times New Roman"/>
          <w:color w:val="000000"/>
          <w:sz w:val="22"/>
          <w:szCs w:val="22"/>
          <w:lang w:eastAsia="en-US"/>
        </w:rPr>
        <w:t xml:space="preserve"> + 50% falha, T4: 25% </w:t>
      </w:r>
      <w:r w:rsidRPr="003F77EB">
        <w:rPr>
          <w:rFonts w:ascii="Times New Roman" w:hAnsi="Times New Roman"/>
          <w:i/>
          <w:color w:val="000000"/>
          <w:sz w:val="22"/>
          <w:szCs w:val="22"/>
          <w:lang w:eastAsia="en-US"/>
        </w:rPr>
        <w:t>E. dunnii</w:t>
      </w:r>
      <w:r w:rsidRPr="003F77EB">
        <w:rPr>
          <w:rFonts w:ascii="Times New Roman" w:hAnsi="Times New Roman"/>
          <w:color w:val="000000"/>
          <w:sz w:val="22"/>
          <w:szCs w:val="22"/>
          <w:lang w:eastAsia="en-US"/>
        </w:rPr>
        <w:t xml:space="preserve"> + 75% falha e T5: 100% falha. Foram produzidos 4 painéis por tratamento com dimensão de 40 x </w:t>
      </w:r>
      <w:smartTag w:uri="urn:schemas-microsoft-com:office:smarttags" w:element="metricconverter">
        <w:smartTagPr>
          <w:attr w:name="ProductID" w:val="40 cm"/>
        </w:smartTagPr>
        <w:r w:rsidRPr="003F77EB">
          <w:rPr>
            <w:rFonts w:ascii="Times New Roman" w:hAnsi="Times New Roman"/>
            <w:color w:val="000000"/>
            <w:sz w:val="22"/>
            <w:szCs w:val="22"/>
            <w:lang w:eastAsia="en-US"/>
          </w:rPr>
          <w:t>40 cm</w:t>
        </w:r>
      </w:smartTag>
      <w:r w:rsidRPr="003F77EB">
        <w:rPr>
          <w:rFonts w:ascii="Times New Roman" w:hAnsi="Times New Roman"/>
          <w:color w:val="000000"/>
          <w:sz w:val="22"/>
          <w:szCs w:val="22"/>
          <w:lang w:eastAsia="en-US"/>
        </w:rPr>
        <w:t xml:space="preserve"> e ciclo de prensagem de 40 kgf/cm</w:t>
      </w:r>
      <w:r w:rsidRPr="003F77EB">
        <w:rPr>
          <w:rFonts w:ascii="Times New Roman" w:hAnsi="Times New Roman"/>
          <w:color w:val="000000"/>
          <w:sz w:val="22"/>
          <w:szCs w:val="22"/>
          <w:vertAlign w:val="superscript"/>
          <w:lang w:eastAsia="en-US"/>
        </w:rPr>
        <w:t>2</w:t>
      </w:r>
      <w:r w:rsidRPr="003F77EB">
        <w:rPr>
          <w:rFonts w:ascii="Times New Roman" w:hAnsi="Times New Roman"/>
          <w:color w:val="000000"/>
          <w:sz w:val="22"/>
          <w:szCs w:val="22"/>
          <w:lang w:eastAsia="en-US"/>
        </w:rPr>
        <w:t>, 160</w:t>
      </w:r>
      <w:r w:rsidRPr="003F77EB">
        <w:rPr>
          <w:rFonts w:ascii="Times New Roman" w:hAnsi="Times New Roman"/>
          <w:color w:val="000000"/>
          <w:sz w:val="22"/>
          <w:szCs w:val="22"/>
          <w:vertAlign w:val="superscript"/>
          <w:lang w:eastAsia="en-US"/>
        </w:rPr>
        <w:t>o</w:t>
      </w:r>
      <w:r w:rsidRPr="003F77EB">
        <w:rPr>
          <w:rFonts w:ascii="Times New Roman" w:hAnsi="Times New Roman"/>
          <w:color w:val="000000"/>
          <w:sz w:val="22"/>
          <w:szCs w:val="22"/>
          <w:lang w:eastAsia="en-US"/>
        </w:rPr>
        <w:t xml:space="preserve">C por 8 minutos. Os ensaios foram realizados de acordo com a NBR14810-3 (2006) e os resultados analisados pela Análise de Variância e Scott-Knott, além da comparação com os limites da NBR 14810-2(2006) e CS 236-66(1968).  </w:t>
      </w:r>
      <w:r w:rsidRPr="003F77EB">
        <w:rPr>
          <w:rFonts w:ascii="Times New Roman" w:hAnsi="Times New Roman"/>
          <w:color w:val="000000"/>
          <w:sz w:val="22"/>
        </w:rPr>
        <w:t>A densidade dos painéis foi de 0,69g/cm</w:t>
      </w:r>
      <w:r w:rsidRPr="003F77EB">
        <w:rPr>
          <w:rFonts w:ascii="Times New Roman" w:hAnsi="Times New Roman"/>
          <w:color w:val="000000"/>
          <w:sz w:val="22"/>
          <w:vertAlign w:val="superscript"/>
        </w:rPr>
        <w:t>3</w:t>
      </w:r>
      <w:r w:rsidRPr="003F77EB">
        <w:rPr>
          <w:rFonts w:ascii="Times New Roman" w:hAnsi="Times New Roman"/>
          <w:color w:val="000000"/>
          <w:sz w:val="22"/>
        </w:rPr>
        <w:t xml:space="preserve"> e não houve diferença estatística entre os tratamentos. Para absorção e inchamento, houve diferença estatística entre todos os tratamentos, onde </w:t>
      </w:r>
      <w:r>
        <w:rPr>
          <w:rFonts w:ascii="Times New Roman" w:hAnsi="Times New Roman"/>
          <w:color w:val="000000"/>
          <w:sz w:val="22"/>
        </w:rPr>
        <w:t>à</w:t>
      </w:r>
      <w:r w:rsidRPr="003F77EB">
        <w:rPr>
          <w:rFonts w:ascii="Times New Roman" w:hAnsi="Times New Roman"/>
          <w:color w:val="000000"/>
          <w:sz w:val="22"/>
        </w:rPr>
        <w:t xml:space="preserve"> medida que aumentava a proporção de falhas havia um incremento nos coeficientes. Somente o tratamento 1 atendeu aos requisitos da NBR 14810-2(2006) e os tratamentos 1 e 2 as especificações da CS 236-66(1968).</w:t>
      </w:r>
    </w:p>
    <w:p w:rsidR="006A7F04" w:rsidRPr="000A265D" w:rsidRDefault="006A7F04" w:rsidP="00A64772">
      <w:pPr>
        <w:rPr>
          <w:sz w:val="22"/>
          <w:szCs w:val="22"/>
        </w:rPr>
      </w:pPr>
      <w:bookmarkStart w:id="0" w:name="_GoBack"/>
      <w:bookmarkEnd w:id="0"/>
    </w:p>
    <w:sectPr w:rsidR="006A7F04" w:rsidRPr="000A265D" w:rsidSect="00313114">
      <w:headerReference w:type="default" r:id="rId6"/>
      <w:pgSz w:w="12240" w:h="15840"/>
      <w:pgMar w:top="1701" w:right="1134" w:bottom="1134" w:left="1701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A7F04" w:rsidRDefault="006A7F04" w:rsidP="00A64772">
      <w:r>
        <w:separator/>
      </w:r>
    </w:p>
  </w:endnote>
  <w:endnote w:type="continuationSeparator" w:id="0">
    <w:p w:rsidR="006A7F04" w:rsidRDefault="006A7F04" w:rsidP="00A647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A7F04" w:rsidRDefault="006A7F04" w:rsidP="00A64772">
      <w:r>
        <w:separator/>
      </w:r>
    </w:p>
  </w:footnote>
  <w:footnote w:type="continuationSeparator" w:id="0">
    <w:p w:rsidR="006A7F04" w:rsidRDefault="006A7F04" w:rsidP="00A64772">
      <w:r>
        <w:continuationSeparator/>
      </w:r>
    </w:p>
  </w:footnote>
  <w:footnote w:id="1">
    <w:p w:rsidR="006A7F04" w:rsidRDefault="006A7F04" w:rsidP="00EA38BF">
      <w:pPr>
        <w:pStyle w:val="EndnoteText"/>
      </w:pPr>
      <w:r>
        <w:rPr>
          <w:rStyle w:val="FootnoteReference"/>
        </w:rPr>
        <w:footnoteRef/>
      </w:r>
      <w:r>
        <w:t xml:space="preserve"> Orientador, Professor do Departamento de Engenharia Florestal, CAV - UDESC – a2abc@cav.udesc.br.</w:t>
      </w:r>
    </w:p>
  </w:footnote>
  <w:footnote w:id="2">
    <w:p w:rsidR="006A7F04" w:rsidRDefault="006A7F04" w:rsidP="00916FC1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color w:val="000000"/>
        </w:rPr>
        <w:t>Acadêmico do Curso de Engenharia Florestal, CAV - UDESC, bolsista de iniciação científica PROBIC/UDESC.</w:t>
      </w:r>
    </w:p>
  </w:footnote>
  <w:footnote w:id="3">
    <w:p w:rsidR="006A7F04" w:rsidRDefault="006A7F04" w:rsidP="00EA38BF">
      <w:pPr>
        <w:pStyle w:val="FootnoteText"/>
      </w:pPr>
      <w:r>
        <w:rPr>
          <w:rStyle w:val="FootnoteReference"/>
        </w:rPr>
        <w:footnoteRef/>
      </w:r>
      <w:r>
        <w:t xml:space="preserve"> Professora Participante do Departamento de Engenharia Florestal, CAV - UDESC.</w:t>
      </w:r>
    </w:p>
    <w:p w:rsidR="006A7F04" w:rsidRPr="0023768D" w:rsidRDefault="006A7F04" w:rsidP="00EA38BF">
      <w:pPr>
        <w:pStyle w:val="FootnoteText"/>
      </w:pPr>
      <w:r>
        <w:rPr>
          <w:vertAlign w:val="superscript"/>
        </w:rPr>
        <w:t>4</w:t>
      </w:r>
      <w:r>
        <w:t xml:space="preserve"> Acadêmica do Curso </w:t>
      </w:r>
      <w:r>
        <w:rPr>
          <w:color w:val="000000"/>
        </w:rPr>
        <w:t>de Engenharia Florestal, CAV - UDESC.</w:t>
      </w:r>
    </w:p>
    <w:p w:rsidR="006A7F04" w:rsidRDefault="006A7F04" w:rsidP="00EA38BF">
      <w:pPr>
        <w:pStyle w:val="FootnoteText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F04" w:rsidRDefault="006A7F04" w:rsidP="00553A64">
    <w:pPr>
      <w:pStyle w:val="Header"/>
      <w:jc w:val="righ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m 1" o:spid="_x0000_s2049" type="#_x0000_t75" alt="Marca_UDESC_horizontal_assinatura" style="position:absolute;left:0;text-align:left;margin-left:0;margin-top:-6.75pt;width:122.25pt;height:53.25pt;z-index:251660288;visibility:visible" o:allowoverlap="f">
          <v:imagedata r:id="rId1" o:title=""/>
          <w10:wrap type="square"/>
        </v:shape>
      </w:pict>
    </w:r>
    <w:r>
      <w:rPr>
        <w:noProof/>
      </w:rPr>
      <w:pict>
        <v:shape id="Imagem 1" o:spid="_x0000_i1026" type="#_x0000_t75" style="width:189pt;height:49.5pt;visibility:visible">
          <v:imagedata r:id="rId2" o:title="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64772"/>
    <w:rsid w:val="00005336"/>
    <w:rsid w:val="000148B1"/>
    <w:rsid w:val="00090B7E"/>
    <w:rsid w:val="000A265D"/>
    <w:rsid w:val="000B367E"/>
    <w:rsid w:val="000E1A11"/>
    <w:rsid w:val="000E45BF"/>
    <w:rsid w:val="0013023E"/>
    <w:rsid w:val="00153944"/>
    <w:rsid w:val="001871E1"/>
    <w:rsid w:val="001A4884"/>
    <w:rsid w:val="001D13A7"/>
    <w:rsid w:val="001F4109"/>
    <w:rsid w:val="00225F4E"/>
    <w:rsid w:val="0023768D"/>
    <w:rsid w:val="00243E52"/>
    <w:rsid w:val="00250432"/>
    <w:rsid w:val="00265173"/>
    <w:rsid w:val="002A1E2A"/>
    <w:rsid w:val="002E3679"/>
    <w:rsid w:val="00302A95"/>
    <w:rsid w:val="00313114"/>
    <w:rsid w:val="003655F9"/>
    <w:rsid w:val="00377E86"/>
    <w:rsid w:val="00384E33"/>
    <w:rsid w:val="003C3D3B"/>
    <w:rsid w:val="003E285C"/>
    <w:rsid w:val="003F77EB"/>
    <w:rsid w:val="00435AE8"/>
    <w:rsid w:val="00437058"/>
    <w:rsid w:val="004772EE"/>
    <w:rsid w:val="00544639"/>
    <w:rsid w:val="00553A64"/>
    <w:rsid w:val="00566486"/>
    <w:rsid w:val="00572C80"/>
    <w:rsid w:val="00592D53"/>
    <w:rsid w:val="005B396C"/>
    <w:rsid w:val="005E3120"/>
    <w:rsid w:val="005E4B88"/>
    <w:rsid w:val="006015A8"/>
    <w:rsid w:val="00631921"/>
    <w:rsid w:val="00637EE7"/>
    <w:rsid w:val="00662906"/>
    <w:rsid w:val="006A5D49"/>
    <w:rsid w:val="006A7F04"/>
    <w:rsid w:val="006D4FB2"/>
    <w:rsid w:val="00717A8D"/>
    <w:rsid w:val="00742089"/>
    <w:rsid w:val="007915A6"/>
    <w:rsid w:val="007A53C4"/>
    <w:rsid w:val="007B6783"/>
    <w:rsid w:val="007B6A33"/>
    <w:rsid w:val="007E4FEE"/>
    <w:rsid w:val="0080064E"/>
    <w:rsid w:val="00816EC7"/>
    <w:rsid w:val="00845FED"/>
    <w:rsid w:val="008F2113"/>
    <w:rsid w:val="0090712E"/>
    <w:rsid w:val="009131DD"/>
    <w:rsid w:val="00914C84"/>
    <w:rsid w:val="00916FC1"/>
    <w:rsid w:val="00926049"/>
    <w:rsid w:val="009407ED"/>
    <w:rsid w:val="00944D3D"/>
    <w:rsid w:val="009B384F"/>
    <w:rsid w:val="009B5D0C"/>
    <w:rsid w:val="009C7427"/>
    <w:rsid w:val="00A045FF"/>
    <w:rsid w:val="00A05BF5"/>
    <w:rsid w:val="00A22197"/>
    <w:rsid w:val="00A32CFF"/>
    <w:rsid w:val="00A626A0"/>
    <w:rsid w:val="00A64772"/>
    <w:rsid w:val="00AC4CC7"/>
    <w:rsid w:val="00AC77F0"/>
    <w:rsid w:val="00AE06AA"/>
    <w:rsid w:val="00B11B3A"/>
    <w:rsid w:val="00B23D77"/>
    <w:rsid w:val="00B73C3F"/>
    <w:rsid w:val="00B878AD"/>
    <w:rsid w:val="00BD1F7E"/>
    <w:rsid w:val="00C6462C"/>
    <w:rsid w:val="00D253C5"/>
    <w:rsid w:val="00DD7367"/>
    <w:rsid w:val="00DF7C0D"/>
    <w:rsid w:val="00E515E6"/>
    <w:rsid w:val="00E65422"/>
    <w:rsid w:val="00E95142"/>
    <w:rsid w:val="00EA1E7E"/>
    <w:rsid w:val="00EA32BD"/>
    <w:rsid w:val="00EA38BF"/>
    <w:rsid w:val="00EB3B00"/>
    <w:rsid w:val="00EC1AFE"/>
    <w:rsid w:val="00EF1F99"/>
    <w:rsid w:val="00EF5DCD"/>
    <w:rsid w:val="00F31643"/>
    <w:rsid w:val="00F46E9C"/>
    <w:rsid w:val="00F62A4B"/>
    <w:rsid w:val="00F70610"/>
    <w:rsid w:val="00FB4D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footnote reference" w:locked="1" w:semiHidden="0" w:uiPriority="0" w:unhideWhenUsed="0"/>
    <w:lsdException w:name="endnote text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4772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A64772"/>
    <w:rPr>
      <w:rFonts w:ascii="Tahoma" w:eastAsia="Calibri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64772"/>
    <w:rPr>
      <w:rFonts w:ascii="Tahoma" w:hAnsi="Tahoma" w:cs="Times New Roman"/>
      <w:sz w:val="16"/>
      <w:lang w:eastAsia="pt-BR"/>
    </w:rPr>
  </w:style>
  <w:style w:type="paragraph" w:styleId="BodyText">
    <w:name w:val="Body Text"/>
    <w:basedOn w:val="Normal"/>
    <w:link w:val="BodyTextChar"/>
    <w:uiPriority w:val="99"/>
    <w:semiHidden/>
    <w:rsid w:val="00A64772"/>
    <w:pPr>
      <w:spacing w:line="360" w:lineRule="auto"/>
      <w:jc w:val="both"/>
    </w:pPr>
    <w:rPr>
      <w:rFonts w:ascii="Tahoma" w:eastAsia="Calibri" w:hAnsi="Tahoma"/>
      <w:color w:val="FF0000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A64772"/>
    <w:rPr>
      <w:rFonts w:ascii="Tahoma" w:hAnsi="Tahoma" w:cs="Times New Roman"/>
      <w:color w:val="FF0000"/>
      <w:sz w:val="20"/>
      <w:lang w:eastAsia="pt-BR"/>
    </w:rPr>
  </w:style>
  <w:style w:type="paragraph" w:styleId="Header">
    <w:name w:val="header"/>
    <w:basedOn w:val="Normal"/>
    <w:link w:val="HeaderChar"/>
    <w:uiPriority w:val="99"/>
    <w:semiHidden/>
    <w:rsid w:val="00A64772"/>
    <w:pPr>
      <w:tabs>
        <w:tab w:val="center" w:pos="4419"/>
        <w:tab w:val="right" w:pos="8838"/>
      </w:tabs>
    </w:pPr>
    <w:rPr>
      <w:rFonts w:eastAsia="Calibri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A64772"/>
    <w:rPr>
      <w:rFonts w:ascii="Times New Roman" w:hAnsi="Times New Roman" w:cs="Times New Roman"/>
      <w:sz w:val="24"/>
      <w:lang w:eastAsia="pt-BR"/>
    </w:rPr>
  </w:style>
  <w:style w:type="paragraph" w:customStyle="1" w:styleId="Padro">
    <w:name w:val="Padrão"/>
    <w:uiPriority w:val="99"/>
    <w:rsid w:val="00A64772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0"/>
      <w:szCs w:val="24"/>
    </w:rPr>
  </w:style>
  <w:style w:type="paragraph" w:styleId="EndnoteText">
    <w:name w:val="endnote text"/>
    <w:basedOn w:val="Normal"/>
    <w:link w:val="EndnoteTextChar"/>
    <w:uiPriority w:val="99"/>
    <w:semiHidden/>
    <w:rsid w:val="00A64772"/>
    <w:rPr>
      <w:rFonts w:eastAsia="Calibri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locked/>
    <w:rsid w:val="00A64772"/>
    <w:rPr>
      <w:rFonts w:ascii="Times New Roman" w:hAnsi="Times New Roman" w:cs="Times New Roman"/>
      <w:sz w:val="20"/>
      <w:lang w:eastAsia="pt-BR"/>
    </w:rPr>
  </w:style>
  <w:style w:type="paragraph" w:styleId="FootnoteText">
    <w:name w:val="footnote text"/>
    <w:basedOn w:val="Normal"/>
    <w:link w:val="FootnoteTextChar"/>
    <w:uiPriority w:val="99"/>
    <w:semiHidden/>
    <w:rsid w:val="00A64772"/>
    <w:rPr>
      <w:rFonts w:eastAsia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A64772"/>
    <w:rPr>
      <w:rFonts w:ascii="Times New Roman" w:hAnsi="Times New Roman" w:cs="Times New Roman"/>
      <w:sz w:val="20"/>
      <w:lang w:eastAsia="pt-BR"/>
    </w:rPr>
  </w:style>
  <w:style w:type="character" w:styleId="FootnoteReference">
    <w:name w:val="footnote reference"/>
    <w:basedOn w:val="DefaultParagraphFont"/>
    <w:uiPriority w:val="99"/>
    <w:semiHidden/>
    <w:rsid w:val="00A64772"/>
    <w:rPr>
      <w:rFonts w:cs="Times New Roman"/>
      <w:vertAlign w:val="superscript"/>
    </w:rPr>
  </w:style>
  <w:style w:type="paragraph" w:styleId="Footer">
    <w:name w:val="footer"/>
    <w:basedOn w:val="Normal"/>
    <w:link w:val="FooterChar"/>
    <w:uiPriority w:val="99"/>
    <w:rsid w:val="00A64772"/>
    <w:pPr>
      <w:tabs>
        <w:tab w:val="center" w:pos="4252"/>
        <w:tab w:val="right" w:pos="8504"/>
      </w:tabs>
    </w:pPr>
    <w:rPr>
      <w:rFonts w:eastAsia="Calibri"/>
    </w:rPr>
  </w:style>
  <w:style w:type="character" w:customStyle="1" w:styleId="FooterChar">
    <w:name w:val="Footer Char"/>
    <w:basedOn w:val="DefaultParagraphFont"/>
    <w:link w:val="Footer"/>
    <w:uiPriority w:val="99"/>
    <w:locked/>
    <w:rsid w:val="00A64772"/>
    <w:rPr>
      <w:rFonts w:ascii="Times New Roman" w:hAnsi="Times New Roman" w:cs="Times New Roman"/>
      <w:sz w:val="24"/>
      <w:lang w:eastAsia="pt-BR"/>
    </w:rPr>
  </w:style>
  <w:style w:type="character" w:styleId="CommentReference">
    <w:name w:val="annotation reference"/>
    <w:basedOn w:val="DefaultParagraphFont"/>
    <w:uiPriority w:val="99"/>
    <w:semiHidden/>
    <w:rsid w:val="00435AE8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semiHidden/>
    <w:rsid w:val="00435AE8"/>
    <w:pPr>
      <w:spacing w:after="200"/>
    </w:pPr>
    <w:rPr>
      <w:rFonts w:ascii="Calibri" w:eastAsia="Calibri" w:hAnsi="Calibr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435AE8"/>
    <w:rPr>
      <w:rFonts w:cs="Times New Roman"/>
      <w:lang w:eastAsia="en-US"/>
    </w:rPr>
  </w:style>
  <w:style w:type="character" w:styleId="Emphasis">
    <w:name w:val="Emphasis"/>
    <w:basedOn w:val="DefaultParagraphFont"/>
    <w:uiPriority w:val="99"/>
    <w:qFormat/>
    <w:locked/>
    <w:rsid w:val="00435AE8"/>
    <w:rPr>
      <w:rFonts w:cs="Times New Roman"/>
      <w:i/>
    </w:rPr>
  </w:style>
  <w:style w:type="paragraph" w:styleId="Title">
    <w:name w:val="Title"/>
    <w:basedOn w:val="Normal"/>
    <w:next w:val="Subtitle"/>
    <w:link w:val="TitleChar"/>
    <w:uiPriority w:val="99"/>
    <w:qFormat/>
    <w:locked/>
    <w:rsid w:val="007B6A33"/>
    <w:pPr>
      <w:suppressAutoHyphens/>
      <w:jc w:val="center"/>
    </w:pPr>
    <w:rPr>
      <w:b/>
      <w:caps/>
      <w:sz w:val="28"/>
      <w:szCs w:val="20"/>
      <w:lang w:eastAsia="ar-SA"/>
    </w:rPr>
  </w:style>
  <w:style w:type="character" w:customStyle="1" w:styleId="TitleChar">
    <w:name w:val="Title Char"/>
    <w:basedOn w:val="DefaultParagraphFont"/>
    <w:link w:val="Title"/>
    <w:uiPriority w:val="99"/>
    <w:locked/>
    <w:rsid w:val="007B6A33"/>
    <w:rPr>
      <w:rFonts w:ascii="Times New Roman" w:hAnsi="Times New Roman" w:cs="Times New Roman"/>
      <w:b/>
      <w:caps/>
      <w:sz w:val="28"/>
      <w:lang w:eastAsia="ar-SA" w:bidi="ar-SA"/>
    </w:rPr>
  </w:style>
  <w:style w:type="paragraph" w:styleId="Subtitle">
    <w:name w:val="Subtitle"/>
    <w:basedOn w:val="Normal"/>
    <w:next w:val="Normal"/>
    <w:link w:val="SubtitleChar"/>
    <w:uiPriority w:val="99"/>
    <w:qFormat/>
    <w:locked/>
    <w:rsid w:val="007B6A33"/>
    <w:pPr>
      <w:numPr>
        <w:ilvl w:val="1"/>
      </w:numPr>
    </w:pPr>
    <w:rPr>
      <w:rFonts w:ascii="Cambria" w:hAnsi="Cambria"/>
      <w:i/>
      <w:iCs/>
      <w:color w:val="4F81BD"/>
      <w:spacing w:val="15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7B6A33"/>
    <w:rPr>
      <w:rFonts w:ascii="Cambria" w:hAnsi="Cambria" w:cs="Times New Roman"/>
      <w:i/>
      <w:iCs/>
      <w:color w:val="4F81BD"/>
      <w:spacing w:val="15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6086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86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86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86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8</TotalTime>
  <Pages>1</Pages>
  <Words>296</Words>
  <Characters>1603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Dalva Magro</dc:creator>
  <cp:keywords/>
  <dc:description/>
  <cp:lastModifiedBy>Rosiris</cp:lastModifiedBy>
  <cp:revision>5</cp:revision>
  <cp:lastPrinted>2013-07-22T14:08:00Z</cp:lastPrinted>
  <dcterms:created xsi:type="dcterms:W3CDTF">2013-07-23T12:18:00Z</dcterms:created>
  <dcterms:modified xsi:type="dcterms:W3CDTF">2013-07-29T19:18:00Z</dcterms:modified>
</cp:coreProperties>
</file>