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65E4" w:rsidRDefault="009365E4" w:rsidP="00D33C13">
      <w:pPr>
        <w:tabs>
          <w:tab w:val="left" w:pos="284"/>
        </w:tabs>
        <w:rPr>
          <w:b/>
        </w:rPr>
      </w:pPr>
    </w:p>
    <w:p w:rsidR="009365E4" w:rsidRDefault="009365E4" w:rsidP="00A64772">
      <w:pPr>
        <w:tabs>
          <w:tab w:val="left" w:pos="284"/>
        </w:tabs>
        <w:jc w:val="center"/>
        <w:rPr>
          <w:b/>
          <w:caps/>
          <w:color w:val="3366FF"/>
        </w:rPr>
      </w:pPr>
    </w:p>
    <w:p w:rsidR="009365E4" w:rsidRDefault="009365E4" w:rsidP="00A64772">
      <w:pPr>
        <w:tabs>
          <w:tab w:val="left" w:pos="284"/>
        </w:tabs>
        <w:jc w:val="center"/>
        <w:rPr>
          <w:b/>
        </w:rPr>
      </w:pPr>
      <w:r>
        <w:rPr>
          <w:b/>
        </w:rPr>
        <w:t>Diversidade e aspectos funcionais de fungos micorrízicos arbusculares no Planalto Catarinense</w:t>
      </w:r>
    </w:p>
    <w:p w:rsidR="009365E4" w:rsidRPr="009D1844" w:rsidRDefault="009365E4" w:rsidP="00A64772">
      <w:pPr>
        <w:pStyle w:val="Padro"/>
        <w:jc w:val="center"/>
        <w:rPr>
          <w:sz w:val="22"/>
          <w:szCs w:val="22"/>
        </w:rPr>
      </w:pPr>
    </w:p>
    <w:p w:rsidR="009365E4" w:rsidRPr="009D1844" w:rsidRDefault="009365E4" w:rsidP="009D1844">
      <w:pPr>
        <w:pStyle w:val="Padro"/>
        <w:jc w:val="center"/>
        <w:rPr>
          <w:sz w:val="22"/>
          <w:szCs w:val="22"/>
        </w:rPr>
      </w:pPr>
      <w:r w:rsidRPr="009D1844">
        <w:rPr>
          <w:sz w:val="22"/>
          <w:szCs w:val="22"/>
        </w:rPr>
        <w:t>Osmar Klauberg-Filho</w:t>
      </w:r>
      <w:r w:rsidRPr="009D1844">
        <w:rPr>
          <w:rStyle w:val="FootnoteReference"/>
          <w:sz w:val="22"/>
          <w:szCs w:val="22"/>
        </w:rPr>
        <w:footnoteReference w:id="1"/>
      </w:r>
      <w:r w:rsidRPr="009D1844">
        <w:rPr>
          <w:sz w:val="22"/>
          <w:szCs w:val="22"/>
        </w:rPr>
        <w:t>, Ana Carolina Lovatel</w:t>
      </w:r>
      <w:r w:rsidRPr="009D1844">
        <w:rPr>
          <w:rStyle w:val="FootnoteReference"/>
          <w:sz w:val="22"/>
          <w:szCs w:val="22"/>
        </w:rPr>
        <w:footnoteReference w:id="2"/>
      </w:r>
      <w:r w:rsidRPr="009D1844">
        <w:rPr>
          <w:position w:val="8"/>
          <w:sz w:val="22"/>
          <w:szCs w:val="22"/>
          <w:vertAlign w:val="superscript"/>
        </w:rPr>
        <w:t xml:space="preserve"> </w:t>
      </w:r>
      <w:r w:rsidRPr="009D1844">
        <w:rPr>
          <w:sz w:val="22"/>
          <w:szCs w:val="22"/>
        </w:rPr>
        <w:t xml:space="preserve">, </w:t>
      </w:r>
      <w:r w:rsidRPr="003B61D6">
        <w:rPr>
          <w:sz w:val="22"/>
          <w:szCs w:val="22"/>
        </w:rPr>
        <w:t>Gessiane Ceola</w:t>
      </w:r>
      <w:r w:rsidRPr="009D1844">
        <w:rPr>
          <w:rStyle w:val="FootnoteReference"/>
          <w:sz w:val="22"/>
          <w:szCs w:val="22"/>
        </w:rPr>
        <w:footnoteReference w:id="3"/>
      </w:r>
      <w:r w:rsidRPr="003B61D6">
        <w:rPr>
          <w:sz w:val="22"/>
          <w:szCs w:val="22"/>
        </w:rPr>
        <w:t xml:space="preserve"> </w:t>
      </w:r>
      <w:r w:rsidRPr="009D1844">
        <w:rPr>
          <w:sz w:val="22"/>
          <w:szCs w:val="22"/>
        </w:rPr>
        <w:t>Dilmar Baretta</w:t>
      </w:r>
      <w:r w:rsidRPr="009D1844">
        <w:rPr>
          <w:sz w:val="22"/>
          <w:szCs w:val="22"/>
          <w:vertAlign w:val="superscript"/>
        </w:rPr>
        <w:t>4</w:t>
      </w:r>
      <w:r w:rsidRPr="009D1844">
        <w:rPr>
          <w:sz w:val="22"/>
          <w:szCs w:val="22"/>
        </w:rPr>
        <w:t xml:space="preserve">  </w:t>
      </w:r>
      <w:r w:rsidRPr="003B61D6">
        <w:rPr>
          <w:sz w:val="22"/>
          <w:szCs w:val="22"/>
        </w:rPr>
        <w:t>Sidney L. Stürmer</w:t>
      </w:r>
      <w:r w:rsidRPr="009D1844">
        <w:rPr>
          <w:rStyle w:val="FootnoteReference"/>
          <w:sz w:val="22"/>
          <w:szCs w:val="22"/>
        </w:rPr>
        <w:t>5</w:t>
      </w:r>
    </w:p>
    <w:p w:rsidR="009365E4" w:rsidRPr="00554D73" w:rsidRDefault="009365E4" w:rsidP="00A64772">
      <w:pPr>
        <w:rPr>
          <w:color w:val="FF0000"/>
          <w:sz w:val="22"/>
          <w:szCs w:val="22"/>
        </w:rPr>
      </w:pPr>
    </w:p>
    <w:p w:rsidR="009365E4" w:rsidRPr="00554D73" w:rsidRDefault="009365E4" w:rsidP="00A64772">
      <w:pPr>
        <w:rPr>
          <w:color w:val="FF0000"/>
          <w:sz w:val="22"/>
          <w:szCs w:val="22"/>
        </w:rPr>
      </w:pPr>
    </w:p>
    <w:p w:rsidR="009365E4" w:rsidRPr="00D33C13" w:rsidRDefault="009365E4" w:rsidP="005941B6">
      <w:pPr>
        <w:rPr>
          <w:i/>
          <w:sz w:val="20"/>
          <w:szCs w:val="20"/>
        </w:rPr>
      </w:pPr>
      <w:r w:rsidRPr="00D33C13">
        <w:rPr>
          <w:sz w:val="20"/>
          <w:szCs w:val="20"/>
        </w:rPr>
        <w:t>Palavras-chave: Fungos micorrízicos arbusculares, usos do solo, micélio extrarradicular total</w:t>
      </w:r>
    </w:p>
    <w:p w:rsidR="009365E4" w:rsidRPr="00D33C13" w:rsidRDefault="009365E4" w:rsidP="005941B6">
      <w:pPr>
        <w:rPr>
          <w:sz w:val="22"/>
          <w:szCs w:val="22"/>
        </w:rPr>
      </w:pPr>
    </w:p>
    <w:p w:rsidR="009365E4" w:rsidRDefault="009365E4" w:rsidP="005941B6">
      <w:pPr>
        <w:pStyle w:val="Default"/>
        <w:rPr>
          <w:sz w:val="22"/>
          <w:szCs w:val="22"/>
        </w:rPr>
      </w:pPr>
      <w:r w:rsidRPr="00EF69EB">
        <w:rPr>
          <w:sz w:val="22"/>
          <w:szCs w:val="22"/>
        </w:rPr>
        <w:t>Nos agrossistemas, o</w:t>
      </w:r>
      <w:r>
        <w:rPr>
          <w:sz w:val="22"/>
          <w:szCs w:val="22"/>
        </w:rPr>
        <w:t xml:space="preserve"> efeito das práticas agrícolas </w:t>
      </w:r>
      <w:r w:rsidRPr="00EF69EB">
        <w:rPr>
          <w:sz w:val="22"/>
          <w:szCs w:val="22"/>
        </w:rPr>
        <w:t>promovem alterações químicas, físicas e biológicas no so</w:t>
      </w:r>
      <w:r>
        <w:rPr>
          <w:sz w:val="22"/>
          <w:szCs w:val="22"/>
        </w:rPr>
        <w:t>lo, alterando as comunidades dos fungos micorrízicos arbusculares  (</w:t>
      </w:r>
      <w:r w:rsidRPr="00EF69EB">
        <w:rPr>
          <w:sz w:val="22"/>
          <w:szCs w:val="22"/>
        </w:rPr>
        <w:t>FMAs</w:t>
      </w:r>
      <w:r>
        <w:rPr>
          <w:sz w:val="22"/>
          <w:szCs w:val="22"/>
        </w:rPr>
        <w:t>)</w:t>
      </w:r>
      <w:r w:rsidRPr="00EF69EB">
        <w:rPr>
          <w:sz w:val="22"/>
          <w:szCs w:val="22"/>
        </w:rPr>
        <w:t xml:space="preserve"> e suas funções no sistema solo-planta. O presente estudo teve o objetivo de caracterizar </w:t>
      </w:r>
      <w:r>
        <w:rPr>
          <w:sz w:val="22"/>
          <w:szCs w:val="22"/>
        </w:rPr>
        <w:t>diversidade e funcionalidade</w:t>
      </w:r>
      <w:r w:rsidRPr="00EF69EB">
        <w:rPr>
          <w:sz w:val="22"/>
          <w:szCs w:val="22"/>
        </w:rPr>
        <w:t xml:space="preserve"> </w:t>
      </w:r>
      <w:r>
        <w:rPr>
          <w:sz w:val="22"/>
          <w:szCs w:val="22"/>
        </w:rPr>
        <w:t>d</w:t>
      </w:r>
      <w:r w:rsidRPr="00EF69EB">
        <w:rPr>
          <w:sz w:val="22"/>
          <w:szCs w:val="22"/>
        </w:rPr>
        <w:t xml:space="preserve">as comunidades de </w:t>
      </w:r>
      <w:r>
        <w:rPr>
          <w:sz w:val="22"/>
          <w:szCs w:val="22"/>
        </w:rPr>
        <w:t>FMAs</w:t>
      </w:r>
      <w:r w:rsidRPr="00EF69EB">
        <w:rPr>
          <w:sz w:val="22"/>
          <w:szCs w:val="22"/>
        </w:rPr>
        <w:t xml:space="preserve"> no </w:t>
      </w:r>
      <w:r>
        <w:rPr>
          <w:sz w:val="22"/>
          <w:szCs w:val="22"/>
        </w:rPr>
        <w:t>P</w:t>
      </w:r>
      <w:r w:rsidRPr="00EF69EB">
        <w:rPr>
          <w:sz w:val="22"/>
          <w:szCs w:val="22"/>
        </w:rPr>
        <w:t xml:space="preserve">lanalto </w:t>
      </w:r>
      <w:r>
        <w:rPr>
          <w:sz w:val="22"/>
          <w:szCs w:val="22"/>
        </w:rPr>
        <w:t>Serrano e Oeste de SC em um gradiente de uso do solo</w:t>
      </w:r>
      <w:r w:rsidRPr="00EF69EB">
        <w:rPr>
          <w:sz w:val="22"/>
          <w:szCs w:val="22"/>
        </w:rPr>
        <w:t xml:space="preserve">. O estudo foi conduzido em três municípios </w:t>
      </w:r>
      <w:r>
        <w:rPr>
          <w:sz w:val="22"/>
          <w:szCs w:val="22"/>
        </w:rPr>
        <w:t xml:space="preserve">de cada região (repetições verdadeiras) </w:t>
      </w:r>
      <w:r w:rsidRPr="00EF69EB">
        <w:rPr>
          <w:sz w:val="22"/>
          <w:szCs w:val="22"/>
        </w:rPr>
        <w:t xml:space="preserve">onde foram selecionados </w:t>
      </w:r>
      <w:r>
        <w:rPr>
          <w:sz w:val="22"/>
          <w:szCs w:val="22"/>
        </w:rPr>
        <w:t>os seguintes  sistemas de uso</w:t>
      </w:r>
      <w:r w:rsidRPr="00EF69EB">
        <w:rPr>
          <w:sz w:val="22"/>
          <w:szCs w:val="22"/>
        </w:rPr>
        <w:t xml:space="preserve"> do solo: Plantio direto (PD), Integração lavoura-pecuária (ILP), Reflore</w:t>
      </w:r>
      <w:r>
        <w:rPr>
          <w:sz w:val="22"/>
          <w:szCs w:val="22"/>
        </w:rPr>
        <w:t>stamento de eucalipto (RE), Floresta nativa (FN</w:t>
      </w:r>
      <w:r w:rsidRPr="00EF69EB">
        <w:rPr>
          <w:sz w:val="22"/>
          <w:szCs w:val="22"/>
        </w:rPr>
        <w:t xml:space="preserve">) e Pastagem nativa </w:t>
      </w:r>
      <w:r>
        <w:rPr>
          <w:sz w:val="22"/>
          <w:szCs w:val="22"/>
        </w:rPr>
        <w:t xml:space="preserve">(PA). Em cada sistema </w:t>
      </w:r>
      <w:r w:rsidRPr="00EF69EB">
        <w:rPr>
          <w:sz w:val="22"/>
          <w:szCs w:val="22"/>
        </w:rPr>
        <w:t xml:space="preserve">foi instalada uma grade amostral com nove pontos distanciados </w:t>
      </w:r>
      <w:smartTag w:uri="urn:schemas-microsoft-com:office:smarttags" w:element="metricconverter">
        <w:smartTagPr>
          <w:attr w:name="ProductID" w:val="30 m"/>
        </w:smartTagPr>
        <w:r w:rsidRPr="00EF69EB">
          <w:rPr>
            <w:sz w:val="22"/>
            <w:szCs w:val="22"/>
          </w:rPr>
          <w:t>30</w:t>
        </w:r>
        <w:r>
          <w:rPr>
            <w:sz w:val="22"/>
            <w:szCs w:val="22"/>
          </w:rPr>
          <w:t xml:space="preserve"> </w:t>
        </w:r>
        <w:r w:rsidRPr="00EF69EB">
          <w:rPr>
            <w:sz w:val="22"/>
            <w:szCs w:val="22"/>
          </w:rPr>
          <w:t>m</w:t>
        </w:r>
      </w:smartTag>
      <w:r w:rsidRPr="00EF69EB">
        <w:rPr>
          <w:sz w:val="22"/>
          <w:szCs w:val="22"/>
        </w:rPr>
        <w:t xml:space="preserve"> entre si. Os municípios constituem as repetições verdadeiras dos sistemas de manejo do solo.  As amostras de solo foram coletadas </w:t>
      </w:r>
      <w:r>
        <w:rPr>
          <w:sz w:val="22"/>
          <w:szCs w:val="22"/>
        </w:rPr>
        <w:t>na camada de 0-</w:t>
      </w:r>
      <w:smartTag w:uri="urn:schemas-microsoft-com:office:smarttags" w:element="metricconverter">
        <w:smartTagPr>
          <w:attr w:name="ProductID" w:val="10 cm"/>
        </w:smartTagPr>
        <w:r>
          <w:rPr>
            <w:sz w:val="22"/>
            <w:szCs w:val="22"/>
          </w:rPr>
          <w:t>10 cm</w:t>
        </w:r>
      </w:smartTag>
      <w:r>
        <w:rPr>
          <w:sz w:val="22"/>
          <w:szCs w:val="22"/>
        </w:rPr>
        <w:t xml:space="preserve"> em julho/2011 e janeiro/</w:t>
      </w:r>
      <w:r w:rsidRPr="00EF69EB">
        <w:rPr>
          <w:sz w:val="22"/>
          <w:szCs w:val="22"/>
        </w:rPr>
        <w:t xml:space="preserve"> 2012. </w:t>
      </w:r>
      <w:r>
        <w:rPr>
          <w:sz w:val="22"/>
          <w:szCs w:val="22"/>
        </w:rPr>
        <w:t>Nas amostra de solo</w:t>
      </w:r>
      <w:r w:rsidRPr="00EF69EB">
        <w:rPr>
          <w:sz w:val="22"/>
          <w:szCs w:val="22"/>
        </w:rPr>
        <w:t xml:space="preserve"> </w:t>
      </w:r>
      <w:r>
        <w:rPr>
          <w:sz w:val="22"/>
          <w:szCs w:val="22"/>
        </w:rPr>
        <w:t>fo</w:t>
      </w:r>
      <w:r w:rsidRPr="00EF69EB">
        <w:rPr>
          <w:sz w:val="22"/>
          <w:szCs w:val="22"/>
        </w:rPr>
        <w:t xml:space="preserve">ram </w:t>
      </w:r>
      <w:r>
        <w:rPr>
          <w:sz w:val="22"/>
          <w:szCs w:val="22"/>
        </w:rPr>
        <w:t xml:space="preserve">realizadas </w:t>
      </w:r>
      <w:r w:rsidRPr="00EF69EB">
        <w:rPr>
          <w:sz w:val="22"/>
          <w:szCs w:val="22"/>
        </w:rPr>
        <w:t xml:space="preserve">a: identificação das espécies, </w:t>
      </w:r>
      <w:r>
        <w:rPr>
          <w:sz w:val="22"/>
          <w:szCs w:val="22"/>
        </w:rPr>
        <w:t xml:space="preserve">a </w:t>
      </w:r>
      <w:r w:rsidRPr="00EF69EB">
        <w:rPr>
          <w:sz w:val="22"/>
          <w:szCs w:val="22"/>
        </w:rPr>
        <w:t>determinação do potencial de inoculo micorríz</w:t>
      </w:r>
      <w:bookmarkStart w:id="0" w:name="_GoBack"/>
      <w:r w:rsidRPr="00EF69EB">
        <w:rPr>
          <w:sz w:val="22"/>
          <w:szCs w:val="22"/>
        </w:rPr>
        <w:t>i</w:t>
      </w:r>
      <w:bookmarkEnd w:id="0"/>
      <w:r w:rsidRPr="00EF69EB">
        <w:rPr>
          <w:sz w:val="22"/>
          <w:szCs w:val="22"/>
        </w:rPr>
        <w:t>co</w:t>
      </w:r>
      <w:r>
        <w:rPr>
          <w:sz w:val="22"/>
          <w:szCs w:val="22"/>
        </w:rPr>
        <w:t xml:space="preserve"> (PIM)</w:t>
      </w:r>
      <w:r w:rsidRPr="00EF69EB">
        <w:rPr>
          <w:sz w:val="22"/>
          <w:szCs w:val="22"/>
        </w:rPr>
        <w:t xml:space="preserve"> e o comprimento de micélio</w:t>
      </w:r>
      <w:r>
        <w:rPr>
          <w:sz w:val="22"/>
          <w:szCs w:val="22"/>
        </w:rPr>
        <w:t xml:space="preserve"> </w:t>
      </w:r>
      <w:r w:rsidRPr="00EF69EB">
        <w:rPr>
          <w:sz w:val="22"/>
          <w:szCs w:val="22"/>
        </w:rPr>
        <w:t>extrarradicular total</w:t>
      </w:r>
      <w:r>
        <w:rPr>
          <w:sz w:val="22"/>
          <w:szCs w:val="22"/>
        </w:rPr>
        <w:t>(CMET)</w:t>
      </w:r>
      <w:r w:rsidRPr="00EF69EB">
        <w:rPr>
          <w:sz w:val="22"/>
          <w:szCs w:val="22"/>
        </w:rPr>
        <w:t xml:space="preserve">. </w:t>
      </w:r>
      <w:r>
        <w:rPr>
          <w:sz w:val="22"/>
          <w:szCs w:val="22"/>
        </w:rPr>
        <w:t>Foram identificadas 16 espécies de FMAs. Em julho, o ILP apresentou maior riqueza de espécies e em janeiro o FN.  O PIM foi maior em ILP/jul e em ILP, PD e RE/jan. MN apresentou maior CMET. Para este parâmetro não se observou efeito da época de amostragem. No oeste foram identificadas 12 espécies de FMAs. O sistema RE obteve os maiores valores de PIM nos dois períodos de coleta. CMET foi maior em FN em janeiro  e não apresentou diferença significativa</w:t>
      </w:r>
      <w:r w:rsidRPr="00272F4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em julho.</w:t>
      </w:r>
    </w:p>
    <w:p w:rsidR="009365E4" w:rsidRDefault="009365E4" w:rsidP="005941B6">
      <w:pPr>
        <w:pStyle w:val="Default"/>
        <w:rPr>
          <w:sz w:val="22"/>
          <w:szCs w:val="22"/>
        </w:rPr>
      </w:pPr>
    </w:p>
    <w:p w:rsidR="009365E4" w:rsidRDefault="009365E4" w:rsidP="00A64772">
      <w:pPr>
        <w:rPr>
          <w:sz w:val="20"/>
          <w:szCs w:val="20"/>
        </w:rPr>
      </w:pPr>
    </w:p>
    <w:p w:rsidR="009365E4" w:rsidRDefault="009365E4" w:rsidP="00A64772">
      <w:pPr>
        <w:rPr>
          <w:rFonts w:ascii="Bookman Old Style" w:hAnsi="Bookman Old Style" w:cs="Arial"/>
          <w:iCs/>
          <w:sz w:val="20"/>
          <w:szCs w:val="20"/>
        </w:rPr>
      </w:pPr>
    </w:p>
    <w:p w:rsidR="009365E4" w:rsidRDefault="009365E4" w:rsidP="00A64772">
      <w:pPr>
        <w:jc w:val="center"/>
        <w:rPr>
          <w:rFonts w:ascii="Bookman Old Style" w:hAnsi="Bookman Old Style" w:cs="Arial"/>
          <w:iCs/>
          <w:color w:val="FF0000"/>
          <w:sz w:val="36"/>
          <w:szCs w:val="36"/>
        </w:rPr>
      </w:pPr>
    </w:p>
    <w:p w:rsidR="009365E4" w:rsidRPr="006D4FB2" w:rsidRDefault="009365E4" w:rsidP="00A64772">
      <w:pPr>
        <w:pStyle w:val="BodyText"/>
        <w:rPr>
          <w:b/>
        </w:rPr>
      </w:pPr>
    </w:p>
    <w:p w:rsidR="009365E4" w:rsidRDefault="009365E4"/>
    <w:sectPr w:rsidR="009365E4" w:rsidSect="003C3D3B">
      <w:headerReference w:type="default" r:id="rId6"/>
      <w:pgSz w:w="12240" w:h="15840"/>
      <w:pgMar w:top="1701" w:right="1134" w:bottom="1134" w:left="1701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65E4" w:rsidRDefault="009365E4" w:rsidP="00A64772">
      <w:r>
        <w:separator/>
      </w:r>
    </w:p>
  </w:endnote>
  <w:endnote w:type="continuationSeparator" w:id="0">
    <w:p w:rsidR="009365E4" w:rsidRDefault="009365E4" w:rsidP="00A647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65E4" w:rsidRDefault="009365E4" w:rsidP="00A64772">
      <w:r>
        <w:separator/>
      </w:r>
    </w:p>
  </w:footnote>
  <w:footnote w:type="continuationSeparator" w:id="0">
    <w:p w:rsidR="009365E4" w:rsidRDefault="009365E4" w:rsidP="00A64772">
      <w:r>
        <w:continuationSeparator/>
      </w:r>
    </w:p>
  </w:footnote>
  <w:footnote w:id="1">
    <w:p w:rsidR="009365E4" w:rsidRDefault="009365E4" w:rsidP="00A64772">
      <w:pPr>
        <w:pStyle w:val="EndnoteText"/>
      </w:pPr>
      <w:r>
        <w:rPr>
          <w:rStyle w:val="FootnoteReference"/>
        </w:rPr>
        <w:footnoteRef/>
      </w:r>
      <w:r>
        <w:t xml:space="preserve"> </w:t>
      </w:r>
      <w:r w:rsidRPr="009D1844">
        <w:t xml:space="preserve">Orientador, Professor do Departamento de Solos </w:t>
      </w:r>
      <w:r>
        <w:t xml:space="preserve"> e Recursos Naturais </w:t>
      </w:r>
      <w:r w:rsidRPr="009D1844">
        <w:t xml:space="preserve">CAV-UDESC – </w:t>
      </w:r>
      <w:hyperlink r:id="rId1" w:history="1">
        <w:r w:rsidRPr="000767D5">
          <w:rPr>
            <w:rStyle w:val="Hyperlink"/>
          </w:rPr>
          <w:t>klauberg65@gmail.com</w:t>
        </w:r>
      </w:hyperlink>
      <w:r>
        <w:t xml:space="preserve"> </w:t>
      </w:r>
      <w:r w:rsidRPr="009D1844">
        <w:t xml:space="preserve"> </w:t>
      </w:r>
    </w:p>
  </w:footnote>
  <w:footnote w:id="2">
    <w:p w:rsidR="009365E4" w:rsidRDefault="009365E4" w:rsidP="00A64772">
      <w:pPr>
        <w:pStyle w:val="FootnoteText"/>
      </w:pPr>
      <w:r w:rsidRPr="009D1844">
        <w:rPr>
          <w:rStyle w:val="FootnoteReference"/>
        </w:rPr>
        <w:footnoteRef/>
      </w:r>
      <w:r w:rsidRPr="009D1844">
        <w:t xml:space="preserve"> Acadêmico(a) do Curso de Agronomia CAV-UDESC, bolsista de iniciação científica </w:t>
      </w:r>
      <w:r>
        <w:t>PROBIC</w:t>
      </w:r>
      <w:r w:rsidRPr="009D1844">
        <w:t xml:space="preserve">/UDESC </w:t>
      </w:r>
    </w:p>
  </w:footnote>
  <w:footnote w:id="3">
    <w:p w:rsidR="009365E4" w:rsidRDefault="009365E4" w:rsidP="00A64772">
      <w:pPr>
        <w:pStyle w:val="FootnoteText"/>
      </w:pPr>
      <w:r w:rsidRPr="009D1844">
        <w:rPr>
          <w:rStyle w:val="FootnoteReference"/>
        </w:rPr>
        <w:footnoteRef/>
      </w:r>
      <w:r w:rsidRPr="009D1844">
        <w:t xml:space="preserve"> Acadêmico do Curso de Doutorado em Ciência do Solo CAV-UDESC</w:t>
      </w:r>
    </w:p>
    <w:p w:rsidR="009365E4" w:rsidRDefault="009365E4" w:rsidP="00A64772">
      <w:pPr>
        <w:pStyle w:val="FootnoteText"/>
      </w:pPr>
      <w:r w:rsidRPr="009D1844">
        <w:rPr>
          <w:vertAlign w:val="superscript"/>
        </w:rPr>
        <w:t>4</w:t>
      </w:r>
      <w:r>
        <w:t xml:space="preserve"> Professor do Departamento de Zootecnia CEO/UDESC</w:t>
      </w:r>
    </w:p>
    <w:p w:rsidR="009365E4" w:rsidRDefault="009365E4" w:rsidP="00A64772">
      <w:pPr>
        <w:pStyle w:val="FootnoteText"/>
      </w:pPr>
      <w:r w:rsidRPr="009D1844">
        <w:rPr>
          <w:vertAlign w:val="superscript"/>
        </w:rPr>
        <w:t>5</w:t>
      </w:r>
      <w:r>
        <w:t>Professor do Departamento de Biologia FURB.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65E4" w:rsidRDefault="009365E4" w:rsidP="009C0741">
    <w:pPr>
      <w:pStyle w:val="Header"/>
      <w:jc w:val="right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m 3" o:spid="_x0000_s2049" type="#_x0000_t75" alt="Marca_UDESC_horizontal_assinatura" style="position:absolute;left:0;text-align:left;margin-left:0;margin-top:-6.75pt;width:122.25pt;height:53.25pt;z-index:251660288;visibility:visible" o:allowoverlap="f">
          <v:imagedata r:id="rId1" o:title=""/>
          <w10:wrap type="square"/>
        </v:shape>
      </w:pict>
    </w:r>
    <w:r>
      <w:rPr>
        <w:noProof/>
      </w:rPr>
      <w:pict>
        <v:shape id="Imagem 2" o:spid="_x0000_i1026" type="#_x0000_t75" style="width:189pt;height:49.5pt;visibility:visible">
          <v:imagedata r:id="rId2" o:title=""/>
        </v:shape>
      </w:pict>
    </w:r>
  </w:p>
  <w:p w:rsidR="009365E4" w:rsidRPr="009C0741" w:rsidRDefault="009365E4" w:rsidP="009C0741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64772"/>
    <w:rsid w:val="000148B1"/>
    <w:rsid w:val="0001674F"/>
    <w:rsid w:val="00075144"/>
    <w:rsid w:val="000767D5"/>
    <w:rsid w:val="00090B7E"/>
    <w:rsid w:val="0013023E"/>
    <w:rsid w:val="001871E1"/>
    <w:rsid w:val="001A24F3"/>
    <w:rsid w:val="001A3A77"/>
    <w:rsid w:val="001D13A7"/>
    <w:rsid w:val="00225F4E"/>
    <w:rsid w:val="002553B3"/>
    <w:rsid w:val="00262B20"/>
    <w:rsid w:val="002645FD"/>
    <w:rsid w:val="00272F4B"/>
    <w:rsid w:val="002A1E2A"/>
    <w:rsid w:val="002A652B"/>
    <w:rsid w:val="00311C2F"/>
    <w:rsid w:val="00346B01"/>
    <w:rsid w:val="00350094"/>
    <w:rsid w:val="003B61D6"/>
    <w:rsid w:val="003C3D3B"/>
    <w:rsid w:val="00436598"/>
    <w:rsid w:val="00437058"/>
    <w:rsid w:val="004772EE"/>
    <w:rsid w:val="004D5E06"/>
    <w:rsid w:val="00533180"/>
    <w:rsid w:val="00553A64"/>
    <w:rsid w:val="00554D73"/>
    <w:rsid w:val="00566123"/>
    <w:rsid w:val="0057341D"/>
    <w:rsid w:val="00592BA5"/>
    <w:rsid w:val="005941B6"/>
    <w:rsid w:val="005B2043"/>
    <w:rsid w:val="00621045"/>
    <w:rsid w:val="00652A59"/>
    <w:rsid w:val="00663B87"/>
    <w:rsid w:val="006A5D49"/>
    <w:rsid w:val="006C4E7E"/>
    <w:rsid w:val="006D4FB2"/>
    <w:rsid w:val="00700666"/>
    <w:rsid w:val="00741139"/>
    <w:rsid w:val="0079477B"/>
    <w:rsid w:val="007E71F2"/>
    <w:rsid w:val="0080064E"/>
    <w:rsid w:val="00804CFD"/>
    <w:rsid w:val="008B68DC"/>
    <w:rsid w:val="008F2113"/>
    <w:rsid w:val="009365E4"/>
    <w:rsid w:val="009407ED"/>
    <w:rsid w:val="00944D3D"/>
    <w:rsid w:val="009810F1"/>
    <w:rsid w:val="009C0741"/>
    <w:rsid w:val="009C7427"/>
    <w:rsid w:val="009C7EBB"/>
    <w:rsid w:val="009D1844"/>
    <w:rsid w:val="00A626A0"/>
    <w:rsid w:val="00A64772"/>
    <w:rsid w:val="00A82EB4"/>
    <w:rsid w:val="00AA3A1B"/>
    <w:rsid w:val="00AC77F0"/>
    <w:rsid w:val="00AE79D8"/>
    <w:rsid w:val="00B11B3A"/>
    <w:rsid w:val="00B23D77"/>
    <w:rsid w:val="00B4380B"/>
    <w:rsid w:val="00BD1F7E"/>
    <w:rsid w:val="00C103CB"/>
    <w:rsid w:val="00C11664"/>
    <w:rsid w:val="00D00EA2"/>
    <w:rsid w:val="00D33C13"/>
    <w:rsid w:val="00D96841"/>
    <w:rsid w:val="00E83F72"/>
    <w:rsid w:val="00EA177D"/>
    <w:rsid w:val="00EA1E7E"/>
    <w:rsid w:val="00EE0FF5"/>
    <w:rsid w:val="00EF69E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endnote text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772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semiHidden/>
    <w:rsid w:val="00A64772"/>
    <w:pPr>
      <w:spacing w:line="360" w:lineRule="auto"/>
      <w:jc w:val="both"/>
    </w:pPr>
    <w:rPr>
      <w:rFonts w:ascii="Tahoma" w:eastAsia="Calibri" w:hAnsi="Tahoma"/>
      <w:color w:val="FF0000"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A64772"/>
    <w:rPr>
      <w:rFonts w:ascii="Tahoma" w:hAnsi="Tahoma" w:cs="Times New Roman"/>
      <w:color w:val="FF0000"/>
      <w:sz w:val="20"/>
      <w:lang w:eastAsia="pt-BR"/>
    </w:rPr>
  </w:style>
  <w:style w:type="paragraph" w:styleId="Header">
    <w:name w:val="header"/>
    <w:basedOn w:val="Normal"/>
    <w:link w:val="HeaderChar"/>
    <w:uiPriority w:val="99"/>
    <w:semiHidden/>
    <w:rsid w:val="00A64772"/>
    <w:pPr>
      <w:tabs>
        <w:tab w:val="center" w:pos="4419"/>
        <w:tab w:val="right" w:pos="8838"/>
      </w:tabs>
    </w:pPr>
    <w:rPr>
      <w:rFonts w:eastAsia="Calibri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A64772"/>
    <w:rPr>
      <w:rFonts w:ascii="Times New Roman" w:hAnsi="Times New Roman" w:cs="Times New Roman"/>
      <w:sz w:val="24"/>
      <w:lang w:eastAsia="pt-BR"/>
    </w:rPr>
  </w:style>
  <w:style w:type="paragraph" w:customStyle="1" w:styleId="Padro">
    <w:name w:val="Padrão"/>
    <w:uiPriority w:val="99"/>
    <w:rsid w:val="00A64772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0"/>
      <w:szCs w:val="24"/>
    </w:rPr>
  </w:style>
  <w:style w:type="paragraph" w:styleId="EndnoteText">
    <w:name w:val="endnote text"/>
    <w:basedOn w:val="Normal"/>
    <w:link w:val="EndnoteTextChar"/>
    <w:uiPriority w:val="99"/>
    <w:semiHidden/>
    <w:rsid w:val="00A64772"/>
    <w:rPr>
      <w:rFonts w:eastAsia="Calibri"/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A64772"/>
    <w:rPr>
      <w:rFonts w:ascii="Times New Roman" w:hAnsi="Times New Roman" w:cs="Times New Roman"/>
      <w:sz w:val="20"/>
      <w:lang w:eastAsia="pt-BR"/>
    </w:rPr>
  </w:style>
  <w:style w:type="paragraph" w:styleId="FootnoteText">
    <w:name w:val="footnote text"/>
    <w:basedOn w:val="Normal"/>
    <w:link w:val="FootnoteTextChar"/>
    <w:uiPriority w:val="99"/>
    <w:semiHidden/>
    <w:rsid w:val="00A64772"/>
    <w:rPr>
      <w:rFonts w:eastAsia="Calibri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A64772"/>
    <w:rPr>
      <w:rFonts w:ascii="Times New Roman" w:hAnsi="Times New Roman" w:cs="Times New Roman"/>
      <w:sz w:val="20"/>
      <w:lang w:eastAsia="pt-BR"/>
    </w:rPr>
  </w:style>
  <w:style w:type="character" w:styleId="FootnoteReference">
    <w:name w:val="footnote reference"/>
    <w:basedOn w:val="DefaultParagraphFont"/>
    <w:uiPriority w:val="99"/>
    <w:semiHidden/>
    <w:rsid w:val="00A6477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rsid w:val="00A64772"/>
    <w:rPr>
      <w:rFonts w:ascii="Tahoma" w:eastAsia="Calibri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A64772"/>
    <w:rPr>
      <w:rFonts w:ascii="Tahoma" w:hAnsi="Tahoma" w:cs="Times New Roman"/>
      <w:sz w:val="16"/>
      <w:lang w:eastAsia="pt-BR"/>
    </w:rPr>
  </w:style>
  <w:style w:type="paragraph" w:styleId="Footer">
    <w:name w:val="footer"/>
    <w:basedOn w:val="Normal"/>
    <w:link w:val="FooterChar"/>
    <w:uiPriority w:val="99"/>
    <w:rsid w:val="00A64772"/>
    <w:pPr>
      <w:tabs>
        <w:tab w:val="center" w:pos="4252"/>
        <w:tab w:val="right" w:pos="8504"/>
      </w:tabs>
    </w:pPr>
    <w:rPr>
      <w:rFonts w:eastAsia="Calibri"/>
    </w:rPr>
  </w:style>
  <w:style w:type="character" w:customStyle="1" w:styleId="FooterChar">
    <w:name w:val="Footer Char"/>
    <w:basedOn w:val="DefaultParagraphFont"/>
    <w:link w:val="Footer"/>
    <w:uiPriority w:val="99"/>
    <w:locked/>
    <w:rsid w:val="00A64772"/>
    <w:rPr>
      <w:rFonts w:ascii="Times New Roman" w:hAnsi="Times New Roman" w:cs="Times New Roman"/>
      <w:sz w:val="24"/>
      <w:lang w:eastAsia="pt-BR"/>
    </w:rPr>
  </w:style>
  <w:style w:type="paragraph" w:customStyle="1" w:styleId="Default">
    <w:name w:val="Default"/>
    <w:uiPriority w:val="99"/>
    <w:rsid w:val="004D5E06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rsid w:val="009D1844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mailto:klauberg65@gmail.com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1</Pages>
  <Words>294</Words>
  <Characters>1588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Dalva Magro</dc:creator>
  <cp:keywords/>
  <dc:description/>
  <cp:lastModifiedBy>Rosiris</cp:lastModifiedBy>
  <cp:revision>6</cp:revision>
  <cp:lastPrinted>2013-07-22T18:52:00Z</cp:lastPrinted>
  <dcterms:created xsi:type="dcterms:W3CDTF">2013-07-23T11:44:00Z</dcterms:created>
  <dcterms:modified xsi:type="dcterms:W3CDTF">2013-07-29T22:11:00Z</dcterms:modified>
</cp:coreProperties>
</file>