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  <w:r>
        <w:rPr>
          <w:rFonts w:cs="Calibri"/>
        </w:rPr>
        <w:t>PROGRAMA DE EXTENSÃO - MÚSICA E SEUS INSTRUMENTOS</w:t>
      </w: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  <w:r>
        <w:rPr>
          <w:rFonts w:cs="Calibri"/>
        </w:rPr>
        <w:t>COORDENADOR: prof. Luiz Henrique Fiammenghi</w:t>
      </w: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  <w:r>
        <w:rPr>
          <w:rFonts w:cs="Calibri"/>
        </w:rPr>
        <w:t>As práticas interpretativas musicais experimentaram grandes mudanças de parâmetros, durante o final do século XX. Uma das conseqüências de tais alterações</w:t>
      </w:r>
      <w:r>
        <w:rPr>
          <w:rFonts w:cs="Calibri"/>
        </w:rPr>
        <w:t xml:space="preserve"> encontra-se na redescoberta e incorporação de instrumentos fora do “</w:t>
      </w:r>
      <w:r>
        <w:rPr>
          <w:rFonts w:cs="Calibri"/>
          <w:i/>
          <w:iCs/>
        </w:rPr>
        <w:t>mainstream</w:t>
      </w:r>
      <w:r>
        <w:rPr>
          <w:rFonts w:cs="Calibri"/>
        </w:rPr>
        <w:t>”, ou seja, aqueles durante um longo período permaneceram alijados das mídias e dos meios de produção musical. O impulso para essas mudanças ocorreu a partir da dé</w:t>
      </w:r>
      <w:r>
        <w:rPr>
          <w:rFonts w:cs="Calibri"/>
        </w:rPr>
        <w:t>cada de 1960 quando esses instrumentos e suas práticas assumiram um novo papel no âmbito de compreensão da musicologia histórica e da etnomusicologia. Se por um lado, a musicologia re-incorporou instrumentos musicais antigos, como o cravo, o violino barroc</w:t>
      </w:r>
      <w:r>
        <w:rPr>
          <w:rFonts w:cs="Calibri"/>
        </w:rPr>
        <w:t>o e as violas-da-gamba, entre outros, conferindo-lhes um novo significado para as práticas interpretativas, a etnomusicologia, numa esfera distinta, porém relacionada, passou a considerar os instrumentos nativos e suas práticas como elementos essenciais pa</w:t>
      </w:r>
      <w:r>
        <w:rPr>
          <w:rFonts w:cs="Calibri"/>
        </w:rPr>
        <w:t>ra o entendimento da linguagem musical e seus contextos sócio-culturais. O presente projeto de extensão procura evidenciar a produção musical focada nos conceitos pós-modernos de intertextualidade e de dialogismo cultural, trazendo para Universidade e para</w:t>
      </w:r>
      <w:r>
        <w:rPr>
          <w:rFonts w:cs="Calibri"/>
        </w:rPr>
        <w:t xml:space="preserve"> a comunidade em geral, palestras, oficinas, seminários/workshops e concertos com artistas de reconhecida competência em suas áreas de atuação, abordando o tema “música e seus instrumentos” em toda sua densidade histórica e cultural.  O projeto insere-se d</w:t>
      </w:r>
      <w:r>
        <w:rPr>
          <w:rFonts w:cs="Calibri"/>
        </w:rPr>
        <w:t xml:space="preserve">entro da proposta central do grupo de pesquisa Musics, vinculado ao PPGMUS, caracterizando-se como um braço artístico do mesmo, traçando, assim, a necessária ligação entre a pesquisa, a atividade artística e a divulgação ampla de seus produtos. </w:t>
      </w: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  <w:r>
        <w:rPr>
          <w:rFonts w:cs="Calibri"/>
        </w:rPr>
        <w:t>A compreen</w:t>
      </w:r>
      <w:r>
        <w:rPr>
          <w:rFonts w:cs="Calibri"/>
        </w:rPr>
        <w:t>são da contemporaneidade e a relação do uso dos instrumentos musicais e suas inserções nas práticas musicais passa necessariamente ela reflexão sobre as questões que concernem ao pós-modernismo. Vários autores apontam para a descentralização e a fragmentaç</w:t>
      </w:r>
      <w:r>
        <w:rPr>
          <w:rFonts w:cs="Calibri"/>
        </w:rPr>
        <w:t>ão como uma das características principais da condição pós-moderna (DANTO, 1997; LYOTARD, 1979 JAMESON, 1991; ROSE, 1991; BAUMAN, 1998, EAGLETON, 1985; ANDERSON, 2008). Enquanto a modernidade prometia uma nova ordem mundial cujo fim último aniquilaria as d</w:t>
      </w:r>
      <w:r>
        <w:rPr>
          <w:rFonts w:cs="Calibri"/>
        </w:rPr>
        <w:t xml:space="preserve">iferenças culturais, as reações que emergiram contra a “cultura do progresso” revelaram o </w:t>
      </w:r>
      <w:r>
        <w:rPr>
          <w:rFonts w:cs="Calibri"/>
        </w:rPr>
        <w:lastRenderedPageBreak/>
        <w:t>ressurgimento das identidades locais e étnicas e a reinvenção das tradições. O ressurgimento de instrumentos musicais antigos e tradicionais e o entendimento da lingu</w:t>
      </w:r>
      <w:r>
        <w:rPr>
          <w:rFonts w:cs="Calibri"/>
        </w:rPr>
        <w:t>agem musical como uma articulação retórica, bem como a diversidade das práticas musicais atuais revelam, portanto, faces importantes do momento pós-moderno.</w:t>
      </w: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  <w:r>
        <w:rPr>
          <w:rFonts w:cs="Calibri"/>
        </w:rPr>
        <w:t xml:space="preserve">Nesse aspecto, musicologia e etnomusicologia estabelecem pontos em comum de abordagem, baseados na </w:t>
      </w:r>
      <w:r>
        <w:rPr>
          <w:rFonts w:cs="Calibri"/>
        </w:rPr>
        <w:t>fenomenologia. Musicólogos como KERMAN (1985) defenderam a mudança de foco em sua disciplina em prol de uma musicologia cultural, fundamentaram o que na prática musical da performance histórica já estava em curso desde meados do séc. XX através do trabalho</w:t>
      </w:r>
      <w:r>
        <w:rPr>
          <w:rFonts w:cs="Calibri"/>
        </w:rPr>
        <w:t xml:space="preserve"> de músicos/pesquisadores como HARNONCOURT (1994).  Esses músicos reabilitaram o uso de instrumentos históricos, impulsionando um movimento que ficou conhecido por HIP (</w:t>
      </w:r>
      <w:r>
        <w:rPr>
          <w:rFonts w:cs="Calibri"/>
          <w:i/>
          <w:iCs/>
        </w:rPr>
        <w:t>Historically Informed Performance</w:t>
      </w:r>
      <w:r>
        <w:rPr>
          <w:rFonts w:cs="Calibri"/>
        </w:rPr>
        <w:t>). Por outro lado, etnomusicólogos como  BLACKING (197</w:t>
      </w:r>
      <w:r>
        <w:rPr>
          <w:rFonts w:cs="Calibri"/>
        </w:rPr>
        <w:t>3), HOOD (1971),  KUBIK (1995), entre outros, lançaram seus esforços para o entendimento da música não-europeia através da voz de seus agentes e de seus próprios instrumentos. A conjunção das teorias musicológicas e etnomusicológicas vinculadas à fenomenol</w:t>
      </w:r>
      <w:r>
        <w:rPr>
          <w:rFonts w:cs="Calibri"/>
        </w:rPr>
        <w:t>ogia são importantes para a compreensão do gesto musical como gerador de idéias, ou, em outras palavras, uma teoria erguida sobre os pilares da prática.</w:t>
      </w:r>
    </w:p>
    <w:p w:rsidR="00000000" w:rsidRDefault="00E1235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cs="Calibri"/>
        </w:rPr>
      </w:pPr>
    </w:p>
    <w:p w:rsidR="00E12359" w:rsidRDefault="00E12359">
      <w:pPr>
        <w:widowControl w:val="0"/>
        <w:autoSpaceDE w:val="0"/>
        <w:autoSpaceDN w:val="0"/>
        <w:adjustRightInd w:val="0"/>
        <w:rPr>
          <w:rFonts w:cs="Calibri"/>
          <w:lang/>
        </w:rPr>
      </w:pPr>
    </w:p>
    <w:sectPr w:rsidR="00E12359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21EE"/>
    <w:rsid w:val="002A21EE"/>
    <w:rsid w:val="00E12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fiaminghi</dc:creator>
  <cp:lastModifiedBy>luiz fiaminghi</cp:lastModifiedBy>
  <cp:revision>2</cp:revision>
  <dcterms:created xsi:type="dcterms:W3CDTF">2014-09-08T02:12:00Z</dcterms:created>
  <dcterms:modified xsi:type="dcterms:W3CDTF">2014-09-08T02:12:00Z</dcterms:modified>
</cp:coreProperties>
</file>