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00E21FFE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proofErr w:type="spellStart"/>
          <w:r w:rsidR="00851AA6">
            <w:rPr>
              <w:rFonts w:eastAsia="Calibri" w:cstheme="minorHAnsi"/>
              <w:sz w:val="24"/>
              <w:szCs w:val="24"/>
            </w:rPr>
            <w:t>Kariston</w:t>
          </w:r>
          <w:proofErr w:type="spellEnd"/>
          <w:r w:rsidR="00851AA6">
            <w:rPr>
              <w:rFonts w:eastAsia="Calibri" w:cstheme="minorHAnsi"/>
              <w:sz w:val="24"/>
              <w:szCs w:val="24"/>
            </w:rPr>
            <w:t xml:space="preserve"> Pereira</w:t>
          </w:r>
        </w:sdtContent>
      </w:sdt>
    </w:p>
    <w:p w14:paraId="30360E86" w14:textId="49783FBC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851AA6">
            <w:rPr>
              <w:rFonts w:eastAsia="Calibri" w:cstheme="minorHAnsi"/>
              <w:sz w:val="24"/>
              <w:szCs w:val="24"/>
            </w:rPr>
            <w:t>CCT</w:t>
          </w:r>
        </w:sdtContent>
      </w:sdt>
    </w:p>
    <w:p w14:paraId="24D80472" w14:textId="0445D25C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851AA6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6317FB3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proofErr w:type="spellStart"/>
          <w:r w:rsidR="00851AA6" w:rsidRPr="00851AA6">
            <w:rPr>
              <w:rFonts w:eastAsia="Calibri" w:cstheme="minorHAnsi"/>
              <w:sz w:val="24"/>
              <w:szCs w:val="24"/>
            </w:rPr>
            <w:t>NexT</w:t>
          </w:r>
          <w:proofErr w:type="spellEnd"/>
          <w:r w:rsidR="00851AA6" w:rsidRPr="00851AA6">
            <w:rPr>
              <w:rFonts w:eastAsia="Calibri" w:cstheme="minorHAnsi"/>
              <w:sz w:val="24"/>
              <w:szCs w:val="24"/>
            </w:rPr>
            <w:t xml:space="preserve"> - Núcleo de Estudos em Xadrez &amp; Tecnologias</w:t>
          </w:r>
        </w:sdtContent>
      </w:sdt>
    </w:p>
    <w:p w14:paraId="48BAE069" w14:textId="3418BB9F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D570C5">
            <w:rPr>
              <w:rFonts w:eastAsia="Calibri" w:cstheme="minorHAnsi"/>
              <w:sz w:val="24"/>
              <w:szCs w:val="24"/>
            </w:rPr>
            <w:t>Revisor 03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70436DDC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D6235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570C5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B5A74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51AA6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73011503" w14:textId="5C4D088C" w:rsidR="00851AA6" w:rsidRDefault="00851AA6" w:rsidP="007D5B15">
          <w:pPr>
            <w:jc w:val="both"/>
            <w:rPr>
              <w:rFonts w:eastAsia="Calibri" w:cstheme="minorHAnsi"/>
              <w:sz w:val="24"/>
              <w:szCs w:val="24"/>
            </w:rPr>
          </w:pPr>
          <w:r w:rsidRPr="00851AA6">
            <w:rPr>
              <w:rFonts w:eastAsia="Calibri" w:cstheme="minorHAnsi"/>
              <w:sz w:val="24"/>
              <w:szCs w:val="24"/>
            </w:rPr>
            <w:t>Solicitamos, pela presente, mui respeitosamente, interposição de recurso para que a proposta de Programa de Extensão intitulada “</w:t>
          </w:r>
          <w:proofErr w:type="spellStart"/>
          <w:r w:rsidRPr="00851AA6">
            <w:rPr>
              <w:rFonts w:eastAsia="Calibri" w:cstheme="minorHAnsi"/>
              <w:sz w:val="24"/>
              <w:szCs w:val="24"/>
            </w:rPr>
            <w:t>NexT</w:t>
          </w:r>
          <w:proofErr w:type="spellEnd"/>
          <w:r w:rsidRPr="00851AA6">
            <w:rPr>
              <w:rFonts w:eastAsia="Calibri" w:cstheme="minorHAnsi"/>
              <w:sz w:val="24"/>
              <w:szCs w:val="24"/>
            </w:rPr>
            <w:t xml:space="preserve"> - Núcleo de Estudos em Xadrez &amp;</w:t>
          </w:r>
          <w:r w:rsidR="000B2E12">
            <w:rPr>
              <w:rFonts w:eastAsia="Calibri" w:cstheme="minorHAnsi"/>
              <w:sz w:val="24"/>
              <w:szCs w:val="24"/>
            </w:rPr>
            <w:t xml:space="preserve"> Tecnologias</w:t>
          </w:r>
          <w:r w:rsidRPr="00851AA6">
            <w:rPr>
              <w:rFonts w:eastAsia="Calibri" w:cstheme="minorHAnsi"/>
              <w:sz w:val="24"/>
              <w:szCs w:val="24"/>
            </w:rPr>
            <w:t>”, da Universidade do Estado de Santa Catarina (UDESC), submetida ao Edital PAEX</w:t>
          </w:r>
          <w:r>
            <w:rPr>
              <w:rFonts w:eastAsia="Calibri" w:cstheme="minorHAnsi"/>
              <w:sz w:val="24"/>
              <w:szCs w:val="24"/>
            </w:rPr>
            <w:t>-PROCEU 01/2019</w:t>
          </w:r>
          <w:r w:rsidRPr="00851AA6">
            <w:rPr>
              <w:rFonts w:eastAsia="Calibri" w:cstheme="minorHAnsi"/>
              <w:sz w:val="24"/>
              <w:szCs w:val="24"/>
            </w:rPr>
            <w:t>, seja reavaliada nas questões indicadas, conforme fundamentação apresentada abaixo:</w:t>
          </w:r>
        </w:p>
        <w:p w14:paraId="314D9D4E" w14:textId="77777777" w:rsidR="006D6235" w:rsidRDefault="006D6235" w:rsidP="007D5B15">
          <w:pPr>
            <w:jc w:val="both"/>
            <w:rPr>
              <w:rFonts w:eastAsia="Calibri" w:cstheme="minorHAnsi"/>
              <w:sz w:val="24"/>
              <w:szCs w:val="24"/>
            </w:rPr>
          </w:pPr>
        </w:p>
        <w:p w14:paraId="0A6736F9" w14:textId="77777777" w:rsidR="006D6235" w:rsidRDefault="006D6235" w:rsidP="007D5B15">
          <w:pPr>
            <w:jc w:val="both"/>
            <w:rPr>
              <w:rFonts w:eastAsia="Calibri" w:cstheme="minorHAnsi"/>
              <w:sz w:val="24"/>
              <w:szCs w:val="24"/>
            </w:rPr>
          </w:pPr>
          <w:r w:rsidRPr="006D6235">
            <w:rPr>
              <w:rFonts w:eastAsia="Calibri" w:cstheme="minorHAnsi"/>
              <w:sz w:val="24"/>
              <w:szCs w:val="24"/>
            </w:rPr>
            <w:t>Questão 0</w:t>
          </w:r>
          <w:r>
            <w:rPr>
              <w:rFonts w:eastAsia="Calibri" w:cstheme="minorHAnsi"/>
              <w:sz w:val="24"/>
              <w:szCs w:val="24"/>
            </w:rPr>
            <w:t>3</w:t>
          </w:r>
          <w:r w:rsidRPr="006D6235">
            <w:rPr>
              <w:rFonts w:eastAsia="Calibri" w:cstheme="minorHAnsi"/>
              <w:sz w:val="24"/>
              <w:szCs w:val="24"/>
            </w:rPr>
            <w:t>:</w:t>
          </w:r>
          <w:r>
            <w:rPr>
              <w:rFonts w:eastAsia="Calibri" w:cstheme="minorHAnsi"/>
              <w:sz w:val="24"/>
              <w:szCs w:val="24"/>
            </w:rPr>
            <w:t xml:space="preserve"> </w:t>
          </w:r>
          <w:r w:rsidRPr="006D6235">
            <w:rPr>
              <w:rFonts w:eastAsia="Calibri" w:cstheme="minorHAnsi"/>
              <w:sz w:val="24"/>
              <w:szCs w:val="24"/>
            </w:rPr>
            <w:t xml:space="preserve">Impacto na Formação dos Acadêmicos  </w:t>
          </w:r>
        </w:p>
        <w:p w14:paraId="2549181E" w14:textId="3FC1B65E" w:rsidR="006D6235" w:rsidRDefault="006D6235" w:rsidP="007D5B15">
          <w:pPr>
            <w:jc w:val="both"/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>O</w:t>
          </w:r>
          <w:r w:rsidRPr="006D6235">
            <w:rPr>
              <w:rFonts w:eastAsia="Calibri" w:cstheme="minorHAnsi"/>
              <w:sz w:val="24"/>
              <w:szCs w:val="24"/>
            </w:rPr>
            <w:t xml:space="preserve"> revisor afirmou haver impacto apenas parcial na formação do estudante. Ora, pelo estudo desenvolvido em literatura de apoio, observou-se que, devido a suas características, o xadrez tornou-se um importante meio de formação intelectual, desenvolvendo diversas capacidades cognitivas e comportamentais, destacando-se a concentração, imaginação, memória, paciência, raciocínio lógico, criatividade, disciplina e inteligência de um modo geral. Além disso, como destacado no texto do projeto, o xadrez é um jogo com informação perfeita e sem o uso de instrumentos de sorte. No xadrez o que realmente importa é criatividade, imaginação, concentração, memória e a capacidade de colocar o conhecimento adquirido em prática</w:t>
          </w:r>
          <w:r w:rsidR="000B2E12">
            <w:rPr>
              <w:rFonts w:eastAsia="Calibri" w:cstheme="minorHAnsi"/>
              <w:sz w:val="24"/>
              <w:szCs w:val="24"/>
            </w:rPr>
            <w:t xml:space="preserve"> (PEREIRA, 2010)</w:t>
          </w:r>
          <w:r w:rsidRPr="006D6235">
            <w:rPr>
              <w:rFonts w:eastAsia="Calibri" w:cstheme="minorHAnsi"/>
              <w:sz w:val="24"/>
              <w:szCs w:val="24"/>
            </w:rPr>
            <w:t xml:space="preserve">. Assim sendo, o </w:t>
          </w:r>
          <w:proofErr w:type="spellStart"/>
          <w:r w:rsidRPr="006D6235">
            <w:rPr>
              <w:rFonts w:eastAsia="Calibri" w:cstheme="minorHAnsi"/>
              <w:sz w:val="24"/>
              <w:szCs w:val="24"/>
            </w:rPr>
            <w:t>NexT</w:t>
          </w:r>
          <w:proofErr w:type="spellEnd"/>
          <w:r w:rsidRPr="006D6235">
            <w:rPr>
              <w:rFonts w:eastAsia="Calibri" w:cstheme="minorHAnsi"/>
              <w:sz w:val="24"/>
              <w:szCs w:val="24"/>
            </w:rPr>
            <w:t>, em conexão com a indissociabilidade entre ensino, pesquisa e extensão, propõe a divulgação, prática, treinamento, estudo e pesquisa do jogo de xadrez na Universidade com especial impacto na formação dos estudantes e na geração de novos conhecimentos po</w:t>
          </w:r>
          <w:r>
            <w:rPr>
              <w:rFonts w:eastAsia="Calibri" w:cstheme="minorHAnsi"/>
              <w:sz w:val="24"/>
              <w:szCs w:val="24"/>
            </w:rPr>
            <w:t>tencialmente interdisciplinares.</w:t>
          </w:r>
        </w:p>
        <w:p w14:paraId="3C572119" w14:textId="13D3E819" w:rsidR="006D6235" w:rsidRDefault="006D6235" w:rsidP="007D5B15">
          <w:pPr>
            <w:jc w:val="both"/>
            <w:rPr>
              <w:rFonts w:eastAsia="Calibri" w:cstheme="minorHAnsi"/>
              <w:sz w:val="24"/>
              <w:szCs w:val="24"/>
            </w:rPr>
          </w:pPr>
          <w:r w:rsidRPr="006D6235">
            <w:rPr>
              <w:rFonts w:eastAsia="Calibri" w:cstheme="minorHAnsi"/>
              <w:sz w:val="24"/>
              <w:szCs w:val="24"/>
            </w:rPr>
            <w:t xml:space="preserve">Outro ponto importante a se destacar é que o </w:t>
          </w:r>
          <w:proofErr w:type="spellStart"/>
          <w:r w:rsidRPr="006D6235">
            <w:rPr>
              <w:rFonts w:eastAsia="Calibri" w:cstheme="minorHAnsi"/>
              <w:sz w:val="24"/>
              <w:szCs w:val="24"/>
            </w:rPr>
            <w:t>NexT</w:t>
          </w:r>
          <w:proofErr w:type="spellEnd"/>
          <w:r w:rsidRPr="006D6235">
            <w:rPr>
              <w:rFonts w:eastAsia="Calibri" w:cstheme="minorHAnsi"/>
              <w:sz w:val="24"/>
              <w:szCs w:val="24"/>
            </w:rPr>
            <w:t xml:space="preserve"> vem desenvolvendo na UDESC um novo olhar sobre a utilização dos jogos em geral, e mais especificamente sobre o jogo de xadrez. O </w:t>
          </w:r>
          <w:proofErr w:type="spellStart"/>
          <w:r w:rsidRPr="006D6235">
            <w:rPr>
              <w:rFonts w:eastAsia="Calibri" w:cstheme="minorHAnsi"/>
              <w:sz w:val="24"/>
              <w:szCs w:val="24"/>
            </w:rPr>
            <w:t>NexT</w:t>
          </w:r>
          <w:proofErr w:type="spellEnd"/>
          <w:r w:rsidRPr="006D6235">
            <w:rPr>
              <w:rFonts w:eastAsia="Calibri" w:cstheme="minorHAnsi"/>
              <w:sz w:val="24"/>
              <w:szCs w:val="24"/>
            </w:rPr>
            <w:t xml:space="preserve">, inclusive, está promovendo no CCT uma disciplina abordando a importância dos 'jogos na produção do conhecimento'. Essa disciplina já está em fase de execução na graduação (no curso de Tecnologia em Análise e  Desenvolvimento de Sistemas) e na pós-graduação (no curso de Mestrado Profissionalizante em Ensino de Ciências, Matemática e Tecnologias). Fundamentando-se na proposta de </w:t>
          </w:r>
          <w:proofErr w:type="spellStart"/>
          <w:r w:rsidRPr="006D6235">
            <w:rPr>
              <w:rFonts w:eastAsia="Calibri" w:cstheme="minorHAnsi"/>
              <w:sz w:val="24"/>
              <w:szCs w:val="24"/>
            </w:rPr>
            <w:t>Huizinga</w:t>
          </w:r>
          <w:proofErr w:type="spellEnd"/>
          <w:r w:rsidRPr="006D6235">
            <w:rPr>
              <w:rFonts w:eastAsia="Calibri" w:cstheme="minorHAnsi"/>
              <w:sz w:val="24"/>
              <w:szCs w:val="24"/>
            </w:rPr>
            <w:t xml:space="preserve"> (2005) e </w:t>
          </w:r>
          <w:proofErr w:type="spellStart"/>
          <w:r w:rsidRPr="006D6235">
            <w:rPr>
              <w:rFonts w:eastAsia="Calibri" w:cstheme="minorHAnsi"/>
              <w:sz w:val="24"/>
              <w:szCs w:val="24"/>
            </w:rPr>
            <w:t>Retondar</w:t>
          </w:r>
          <w:proofErr w:type="spellEnd"/>
          <w:r w:rsidRPr="006D6235">
            <w:rPr>
              <w:rFonts w:eastAsia="Calibri" w:cstheme="minorHAnsi"/>
              <w:sz w:val="24"/>
              <w:szCs w:val="24"/>
            </w:rPr>
            <w:t xml:space="preserve"> (2007), o jogo de xadrez é trabalhado na UDESC como uma atividade saudável e lúdica, a ser utilizada tanto na promoção do conhecimento e de  capacidades cognitivas, como no desenvolvimento de um ambiente acadêmico mais intelectualizado, que </w:t>
          </w:r>
          <w:r w:rsidRPr="006D6235">
            <w:rPr>
              <w:rFonts w:eastAsia="Calibri" w:cstheme="minorHAnsi"/>
              <w:sz w:val="24"/>
              <w:szCs w:val="24"/>
            </w:rPr>
            <w:lastRenderedPageBreak/>
            <w:t>conecta o lúdico à ciência, ao esporte, à arte e à cultura, procurando diminuir, em consequência, a evasão escolar e procurando funcionar, por outro lado, como um diferencial oferecido aos interessados em ingressar na UDESC.</w:t>
          </w:r>
        </w:p>
        <w:p w14:paraId="0B6E97DC" w14:textId="437BB550" w:rsidR="006D6235" w:rsidRPr="006D6235" w:rsidRDefault="0056359C" w:rsidP="007D5B15">
          <w:pPr>
            <w:jc w:val="both"/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Os Cursos de Xadrez do </w:t>
          </w:r>
          <w:proofErr w:type="spellStart"/>
          <w:r>
            <w:rPr>
              <w:rFonts w:eastAsia="Calibri" w:cstheme="minorHAnsi"/>
              <w:sz w:val="24"/>
              <w:szCs w:val="24"/>
            </w:rPr>
            <w:t>NexT</w:t>
          </w:r>
          <w:proofErr w:type="spellEnd"/>
          <w:r>
            <w:rPr>
              <w:rFonts w:eastAsia="Calibri" w:cstheme="minorHAnsi"/>
              <w:sz w:val="24"/>
              <w:szCs w:val="24"/>
            </w:rPr>
            <w:t xml:space="preserve"> (projeto “Aprenda Xadrez na Universidade”) também concedem créditos aos estudantes que podem validá-los como Atividades Complementares em seus cursos superiores, e o </w:t>
          </w:r>
          <w:r w:rsidR="006D6235" w:rsidRPr="006D6235">
            <w:rPr>
              <w:rFonts w:eastAsia="Calibri" w:cstheme="minorHAnsi"/>
              <w:sz w:val="24"/>
              <w:szCs w:val="24"/>
            </w:rPr>
            <w:t xml:space="preserve">projeto de extensão 'Pratique Xadrez na Universidade' (antigo 'Sextas Xadrez na Universidade'), ao propiciar oficinas semanais de prática de xadrez (em princípio, todas as quartas-feiras), como uma forma de recreação e troca de experiência entre os interessados, </w:t>
          </w:r>
          <w:r>
            <w:rPr>
              <w:rFonts w:eastAsia="Calibri" w:cstheme="minorHAnsi"/>
              <w:sz w:val="24"/>
              <w:szCs w:val="24"/>
            </w:rPr>
            <w:t>tem estimulado</w:t>
          </w:r>
          <w:r w:rsidR="006D6235" w:rsidRPr="006D6235">
            <w:rPr>
              <w:rFonts w:eastAsia="Calibri" w:cstheme="minorHAnsi"/>
              <w:sz w:val="24"/>
              <w:szCs w:val="24"/>
            </w:rPr>
            <w:t xml:space="preserve"> a prática e o estudo do xadrez como esporte dentro dos domínios da Universidade, procurando consolidar uma comunidade de prática nesse domínio de conhecimento (NONAKA; TOYAMA; KONNO, 2000). </w:t>
          </w:r>
          <w:r>
            <w:rPr>
              <w:rFonts w:eastAsia="Calibri" w:cstheme="minorHAnsi"/>
              <w:sz w:val="24"/>
              <w:szCs w:val="24"/>
            </w:rPr>
            <w:t>Tais projetos divulgam</w:t>
          </w:r>
          <w:r w:rsidR="006D6235" w:rsidRPr="006D6235">
            <w:rPr>
              <w:rFonts w:eastAsia="Calibri" w:cstheme="minorHAnsi"/>
              <w:sz w:val="24"/>
              <w:szCs w:val="24"/>
            </w:rPr>
            <w:t>,</w:t>
          </w:r>
          <w:r>
            <w:rPr>
              <w:rFonts w:eastAsia="Calibri" w:cstheme="minorHAnsi"/>
              <w:sz w:val="24"/>
              <w:szCs w:val="24"/>
            </w:rPr>
            <w:t xml:space="preserve"> ainda,</w:t>
          </w:r>
          <w:r w:rsidR="006D6235" w:rsidRPr="006D6235">
            <w:rPr>
              <w:rFonts w:eastAsia="Calibri" w:cstheme="minorHAnsi"/>
              <w:sz w:val="24"/>
              <w:szCs w:val="24"/>
            </w:rPr>
            <w:t xml:space="preserve"> entre os participantes, a possibilidade de se pesquisar o xadrez como ciência e de desfrutá-lo como arte e cultura, convidando-os a participar de outras ações do </w:t>
          </w:r>
          <w:proofErr w:type="spellStart"/>
          <w:r w:rsidR="006D6235" w:rsidRPr="006D6235">
            <w:rPr>
              <w:rFonts w:eastAsia="Calibri" w:cstheme="minorHAnsi"/>
              <w:sz w:val="24"/>
              <w:szCs w:val="24"/>
            </w:rPr>
            <w:t>NexT</w:t>
          </w:r>
          <w:proofErr w:type="spellEnd"/>
          <w:r w:rsidR="006D6235" w:rsidRPr="006D6235">
            <w:rPr>
              <w:rFonts w:eastAsia="Calibri" w:cstheme="minorHAnsi"/>
              <w:sz w:val="24"/>
              <w:szCs w:val="24"/>
            </w:rPr>
            <w:t xml:space="preserve"> enquanto programa, em que o xadrez possa ser tema de pesquisa, ensino e extensão.</w:t>
          </w:r>
        </w:p>
        <w:p w14:paraId="1C2DD51D" w14:textId="6256AA46" w:rsidR="006D6235" w:rsidRDefault="006D6235" w:rsidP="007D5B15">
          <w:pPr>
            <w:jc w:val="both"/>
            <w:rPr>
              <w:rFonts w:eastAsia="Calibri" w:cstheme="minorHAnsi"/>
              <w:sz w:val="24"/>
              <w:szCs w:val="24"/>
            </w:rPr>
          </w:pPr>
          <w:r w:rsidRPr="006D6235">
            <w:rPr>
              <w:rFonts w:eastAsia="Calibri" w:cstheme="minorHAnsi"/>
              <w:sz w:val="24"/>
              <w:szCs w:val="24"/>
            </w:rPr>
            <w:t xml:space="preserve">Como exemplo pode-se citar o Projeto de Pesquisa 'Xadrez, Tecnologia e Aprendizagem' (Processo </w:t>
          </w:r>
          <w:proofErr w:type="spellStart"/>
          <w:r w:rsidRPr="006D6235">
            <w:rPr>
              <w:rFonts w:eastAsia="Calibri" w:cstheme="minorHAnsi"/>
              <w:sz w:val="24"/>
              <w:szCs w:val="24"/>
            </w:rPr>
            <w:t>Nr</w:t>
          </w:r>
          <w:proofErr w:type="spellEnd"/>
          <w:r w:rsidRPr="006D6235">
            <w:rPr>
              <w:rFonts w:eastAsia="Calibri" w:cstheme="minorHAnsi"/>
              <w:sz w:val="24"/>
              <w:szCs w:val="24"/>
            </w:rPr>
            <w:t xml:space="preserve">. 3860/2011), desenvolvido por pesquisadores que compõem o grupo de execução do </w:t>
          </w:r>
          <w:proofErr w:type="spellStart"/>
          <w:r w:rsidRPr="006D6235">
            <w:rPr>
              <w:rFonts w:eastAsia="Calibri" w:cstheme="minorHAnsi"/>
              <w:sz w:val="24"/>
              <w:szCs w:val="24"/>
            </w:rPr>
            <w:t>NexT</w:t>
          </w:r>
          <w:proofErr w:type="spellEnd"/>
          <w:r w:rsidRPr="006D6235">
            <w:rPr>
              <w:rFonts w:eastAsia="Calibri" w:cstheme="minorHAnsi"/>
              <w:sz w:val="24"/>
              <w:szCs w:val="24"/>
            </w:rPr>
            <w:t>, que estud</w:t>
          </w:r>
          <w:r w:rsidR="000B2E12">
            <w:rPr>
              <w:rFonts w:eastAsia="Calibri" w:cstheme="minorHAnsi"/>
              <w:sz w:val="24"/>
              <w:szCs w:val="24"/>
            </w:rPr>
            <w:t>ou</w:t>
          </w:r>
          <w:r w:rsidRPr="006D6235">
            <w:rPr>
              <w:rFonts w:eastAsia="Calibri" w:cstheme="minorHAnsi"/>
              <w:sz w:val="24"/>
              <w:szCs w:val="24"/>
            </w:rPr>
            <w:t xml:space="preserve"> a possibilidade do uso do computador como acelerador na aquisição da expertise. Outros exemplos são as</w:t>
          </w:r>
          <w:r>
            <w:rPr>
              <w:rFonts w:eastAsia="Calibri" w:cstheme="minorHAnsi"/>
              <w:sz w:val="24"/>
              <w:szCs w:val="24"/>
            </w:rPr>
            <w:t xml:space="preserve"> </w:t>
          </w:r>
          <w:r w:rsidRPr="006D6235">
            <w:rPr>
              <w:rFonts w:eastAsia="Calibri" w:cstheme="minorHAnsi"/>
              <w:sz w:val="24"/>
              <w:szCs w:val="24"/>
            </w:rPr>
            <w:t>dissertações de mestrado defendidas em 2018 e 2019 no Programa de Pós-Graduação em Ensino de Ciência, Matemática e Tecnologias (PPGECMT), com tema envolvendo o estudo do jogo de xadrez como ferramenta pedagógica e Trabalhos de Conclusão de Curso (</w:t>
          </w:r>
          <w:proofErr w:type="spellStart"/>
          <w:r w:rsidRPr="006D6235">
            <w:rPr>
              <w:rFonts w:eastAsia="Calibri" w:cstheme="minorHAnsi"/>
              <w:sz w:val="24"/>
              <w:szCs w:val="24"/>
            </w:rPr>
            <w:t>TCCs</w:t>
          </w:r>
          <w:proofErr w:type="spellEnd"/>
          <w:r w:rsidRPr="006D6235">
            <w:rPr>
              <w:rFonts w:eastAsia="Calibri" w:cstheme="minorHAnsi"/>
              <w:sz w:val="24"/>
              <w:szCs w:val="24"/>
            </w:rPr>
            <w:t xml:space="preserve">) no curso de Bacharelado em Ciência da Computação da UDESC, com tema também envolvendo o jogo de xadrez de alguma forma. Uma das dissertações de mestrado defendidas em 2018 no PPGECMT foi orientada pelo Prof. </w:t>
          </w:r>
          <w:proofErr w:type="spellStart"/>
          <w:r w:rsidRPr="006D6235">
            <w:rPr>
              <w:rFonts w:eastAsia="Calibri" w:cstheme="minorHAnsi"/>
              <w:sz w:val="24"/>
              <w:szCs w:val="24"/>
            </w:rPr>
            <w:t>Kariston</w:t>
          </w:r>
          <w:proofErr w:type="spellEnd"/>
          <w:r w:rsidRPr="006D6235">
            <w:rPr>
              <w:rFonts w:eastAsia="Calibri" w:cstheme="minorHAnsi"/>
              <w:sz w:val="24"/>
              <w:szCs w:val="24"/>
            </w:rPr>
            <w:t xml:space="preserve"> Pereira e desenvolvida pela aluna Joana </w:t>
          </w:r>
          <w:proofErr w:type="spellStart"/>
          <w:r w:rsidRPr="006D6235">
            <w:rPr>
              <w:rFonts w:eastAsia="Calibri" w:cstheme="minorHAnsi"/>
              <w:sz w:val="24"/>
              <w:szCs w:val="24"/>
            </w:rPr>
            <w:t>Steil</w:t>
          </w:r>
          <w:proofErr w:type="spellEnd"/>
          <w:r w:rsidRPr="006D6235">
            <w:rPr>
              <w:rFonts w:eastAsia="Calibri" w:cstheme="minorHAnsi"/>
              <w:sz w:val="24"/>
              <w:szCs w:val="24"/>
            </w:rPr>
            <w:t xml:space="preserve"> Alves, intitulada “O Livro-Jogo de Xadrez como Recurso Didáti</w:t>
          </w:r>
          <w:r>
            <w:rPr>
              <w:rFonts w:eastAsia="Calibri" w:cstheme="minorHAnsi"/>
              <w:sz w:val="24"/>
              <w:szCs w:val="24"/>
            </w:rPr>
            <w:t>co para o Ensino da Matemática”</w:t>
          </w:r>
          <w:r w:rsidRPr="006D6235">
            <w:rPr>
              <w:rFonts w:eastAsia="Calibri" w:cstheme="minorHAnsi"/>
              <w:sz w:val="24"/>
              <w:szCs w:val="24"/>
            </w:rPr>
            <w:t xml:space="preserve">. Em 2019, sob orientação dos Professores </w:t>
          </w:r>
          <w:proofErr w:type="spellStart"/>
          <w:r w:rsidRPr="006D6235">
            <w:rPr>
              <w:rFonts w:eastAsia="Calibri" w:cstheme="minorHAnsi"/>
              <w:sz w:val="24"/>
              <w:szCs w:val="24"/>
            </w:rPr>
            <w:t>Kariston</w:t>
          </w:r>
          <w:proofErr w:type="spellEnd"/>
          <w:r w:rsidRPr="006D6235">
            <w:rPr>
              <w:rFonts w:eastAsia="Calibri" w:cstheme="minorHAnsi"/>
              <w:sz w:val="24"/>
              <w:szCs w:val="24"/>
            </w:rPr>
            <w:t xml:space="preserve"> Pereira e </w:t>
          </w:r>
          <w:proofErr w:type="spellStart"/>
          <w:r w:rsidRPr="006D6235">
            <w:rPr>
              <w:rFonts w:eastAsia="Calibri" w:cstheme="minorHAnsi"/>
              <w:sz w:val="24"/>
              <w:szCs w:val="24"/>
            </w:rPr>
            <w:t>Iandra</w:t>
          </w:r>
          <w:proofErr w:type="spellEnd"/>
          <w:r w:rsidRPr="006D6235">
            <w:rPr>
              <w:rFonts w:eastAsia="Calibri" w:cstheme="minorHAnsi"/>
              <w:sz w:val="24"/>
              <w:szCs w:val="24"/>
            </w:rPr>
            <w:t xml:space="preserve"> </w:t>
          </w:r>
          <w:proofErr w:type="spellStart"/>
          <w:r w:rsidRPr="006D6235">
            <w:rPr>
              <w:rFonts w:eastAsia="Calibri" w:cstheme="minorHAnsi"/>
              <w:sz w:val="24"/>
              <w:szCs w:val="24"/>
            </w:rPr>
            <w:t>Pavanati</w:t>
          </w:r>
          <w:proofErr w:type="spellEnd"/>
          <w:r w:rsidRPr="006D6235">
            <w:rPr>
              <w:rFonts w:eastAsia="Calibri" w:cstheme="minorHAnsi"/>
              <w:sz w:val="24"/>
              <w:szCs w:val="24"/>
            </w:rPr>
            <w:t xml:space="preserve"> (</w:t>
          </w:r>
          <w:proofErr w:type="spellStart"/>
          <w:r w:rsidRPr="006D6235">
            <w:rPr>
              <w:rFonts w:eastAsia="Calibri" w:cstheme="minorHAnsi"/>
              <w:sz w:val="24"/>
              <w:szCs w:val="24"/>
            </w:rPr>
            <w:t>vice-coordenadora</w:t>
          </w:r>
          <w:proofErr w:type="spellEnd"/>
          <w:r w:rsidRPr="006D6235">
            <w:rPr>
              <w:rFonts w:eastAsia="Calibri" w:cstheme="minorHAnsi"/>
              <w:sz w:val="24"/>
              <w:szCs w:val="24"/>
            </w:rPr>
            <w:t xml:space="preserve"> geral do </w:t>
          </w:r>
          <w:proofErr w:type="spellStart"/>
          <w:r w:rsidRPr="006D6235">
            <w:rPr>
              <w:rFonts w:eastAsia="Calibri" w:cstheme="minorHAnsi"/>
              <w:sz w:val="24"/>
              <w:szCs w:val="24"/>
            </w:rPr>
            <w:t>NexT</w:t>
          </w:r>
          <w:proofErr w:type="spellEnd"/>
          <w:r w:rsidRPr="006D6235">
            <w:rPr>
              <w:rFonts w:eastAsia="Calibri" w:cstheme="minorHAnsi"/>
              <w:sz w:val="24"/>
              <w:szCs w:val="24"/>
            </w:rPr>
            <w:t xml:space="preserve">), a aluna Caroline Krüger Coral </w:t>
          </w:r>
          <w:proofErr w:type="spellStart"/>
          <w:r w:rsidRPr="006D6235">
            <w:rPr>
              <w:rFonts w:eastAsia="Calibri" w:cstheme="minorHAnsi"/>
              <w:sz w:val="24"/>
              <w:szCs w:val="24"/>
            </w:rPr>
            <w:t>Goll</w:t>
          </w:r>
          <w:proofErr w:type="spellEnd"/>
          <w:r w:rsidRPr="006D6235">
            <w:rPr>
              <w:rFonts w:eastAsia="Calibri" w:cstheme="minorHAnsi"/>
              <w:sz w:val="24"/>
              <w:szCs w:val="24"/>
            </w:rPr>
            <w:t xml:space="preserve"> defendeu a dissertação intitulada “A Gamificação para Professores do Ensino Fundamental I: Sequência Didática com uma Abordagem Interdisciplinar </w:t>
          </w:r>
          <w:proofErr w:type="spellStart"/>
          <w:r w:rsidRPr="006D6235">
            <w:rPr>
              <w:rFonts w:eastAsia="Calibri" w:cstheme="minorHAnsi"/>
              <w:sz w:val="24"/>
              <w:szCs w:val="24"/>
            </w:rPr>
            <w:t>Gamificada</w:t>
          </w:r>
          <w:proofErr w:type="spellEnd"/>
          <w:r w:rsidRPr="006D6235">
            <w:rPr>
              <w:rFonts w:eastAsia="Calibri" w:cstheme="minorHAnsi"/>
              <w:sz w:val="24"/>
              <w:szCs w:val="24"/>
            </w:rPr>
            <w:t xml:space="preserve"> com o Tema ‘The </w:t>
          </w:r>
          <w:proofErr w:type="spellStart"/>
          <w:r w:rsidRPr="006D6235">
            <w:rPr>
              <w:rFonts w:eastAsia="Calibri" w:cstheme="minorHAnsi"/>
              <w:sz w:val="24"/>
              <w:szCs w:val="24"/>
            </w:rPr>
            <w:t>Water</w:t>
          </w:r>
          <w:proofErr w:type="spellEnd"/>
          <w:r w:rsidRPr="006D6235">
            <w:rPr>
              <w:rFonts w:eastAsia="Calibri" w:cstheme="minorHAnsi"/>
              <w:sz w:val="24"/>
              <w:szCs w:val="24"/>
            </w:rPr>
            <w:t xml:space="preserve"> </w:t>
          </w:r>
          <w:proofErr w:type="spellStart"/>
          <w:r w:rsidRPr="006D6235">
            <w:rPr>
              <w:rFonts w:eastAsia="Calibri" w:cstheme="minorHAnsi"/>
              <w:sz w:val="24"/>
              <w:szCs w:val="24"/>
            </w:rPr>
            <w:t>Cycle</w:t>
          </w:r>
          <w:proofErr w:type="spellEnd"/>
          <w:r w:rsidRPr="006D6235">
            <w:rPr>
              <w:rFonts w:eastAsia="Calibri" w:cstheme="minorHAnsi"/>
              <w:sz w:val="24"/>
              <w:szCs w:val="24"/>
            </w:rPr>
            <w:t xml:space="preserve">’”, também desenvolvida no âmbito do </w:t>
          </w:r>
          <w:proofErr w:type="spellStart"/>
          <w:r w:rsidRPr="006D6235">
            <w:rPr>
              <w:rFonts w:eastAsia="Calibri" w:cstheme="minorHAnsi"/>
              <w:sz w:val="24"/>
              <w:szCs w:val="24"/>
            </w:rPr>
            <w:t>NexT</w:t>
          </w:r>
          <w:proofErr w:type="spellEnd"/>
          <w:r w:rsidRPr="006D6235">
            <w:rPr>
              <w:rFonts w:eastAsia="Calibri" w:cstheme="minorHAnsi"/>
              <w:sz w:val="24"/>
              <w:szCs w:val="24"/>
            </w:rPr>
            <w:t xml:space="preserve">. Em 2019 também </w:t>
          </w:r>
          <w:r>
            <w:rPr>
              <w:rFonts w:eastAsia="Calibri" w:cstheme="minorHAnsi"/>
              <w:sz w:val="24"/>
              <w:szCs w:val="24"/>
            </w:rPr>
            <w:t>foi defendido</w:t>
          </w:r>
          <w:r w:rsidRPr="006D6235">
            <w:rPr>
              <w:rFonts w:eastAsia="Calibri" w:cstheme="minorHAnsi"/>
              <w:sz w:val="24"/>
              <w:szCs w:val="24"/>
            </w:rPr>
            <w:t xml:space="preserve"> um Trabalho de Final de Curso (TCC), no curso de Bacharelado em Ciência da Computação da UDESC, orientado pelo Prof. </w:t>
          </w:r>
          <w:proofErr w:type="spellStart"/>
          <w:r w:rsidRPr="006D6235">
            <w:rPr>
              <w:rFonts w:eastAsia="Calibri" w:cstheme="minorHAnsi"/>
              <w:sz w:val="24"/>
              <w:szCs w:val="24"/>
            </w:rPr>
            <w:t>Kariston</w:t>
          </w:r>
          <w:proofErr w:type="spellEnd"/>
          <w:r w:rsidRPr="006D6235">
            <w:rPr>
              <w:rFonts w:eastAsia="Calibri" w:cstheme="minorHAnsi"/>
              <w:sz w:val="24"/>
              <w:szCs w:val="24"/>
            </w:rPr>
            <w:t xml:space="preserve"> Pereira e desenvolvido pelo aluno Victor Hugo Ribeiro </w:t>
          </w:r>
          <w:proofErr w:type="spellStart"/>
          <w:r w:rsidRPr="006D6235">
            <w:rPr>
              <w:rFonts w:eastAsia="Calibri" w:cstheme="minorHAnsi"/>
              <w:sz w:val="24"/>
              <w:szCs w:val="24"/>
            </w:rPr>
            <w:t>Carriço</w:t>
          </w:r>
          <w:proofErr w:type="spellEnd"/>
          <w:r w:rsidRPr="006D6235">
            <w:rPr>
              <w:rFonts w:eastAsia="Calibri" w:cstheme="minorHAnsi"/>
              <w:sz w:val="24"/>
              <w:szCs w:val="24"/>
            </w:rPr>
            <w:t>, com o título “Tabuleiro Eletrônico para Anotação Automatizada de Partidas de Xadrez.”</w:t>
          </w:r>
        </w:p>
        <w:p w14:paraId="73FAD3D4" w14:textId="597CFE92" w:rsidR="0056359C" w:rsidRDefault="0056359C" w:rsidP="007D5B15">
          <w:pPr>
            <w:jc w:val="both"/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>Referências</w:t>
          </w:r>
          <w:r w:rsidR="000B2E12">
            <w:rPr>
              <w:rFonts w:eastAsia="Calibri" w:cstheme="minorHAnsi"/>
              <w:sz w:val="24"/>
              <w:szCs w:val="24"/>
            </w:rPr>
            <w:t xml:space="preserve"> utilizadas </w:t>
          </w:r>
          <w:r w:rsidR="00C65935">
            <w:rPr>
              <w:rFonts w:eastAsia="Calibri" w:cstheme="minorHAnsi"/>
              <w:sz w:val="24"/>
              <w:szCs w:val="24"/>
            </w:rPr>
            <w:t xml:space="preserve">na </w:t>
          </w:r>
          <w:r w:rsidR="000B2E12">
            <w:rPr>
              <w:rFonts w:eastAsia="Calibri" w:cstheme="minorHAnsi"/>
              <w:sz w:val="24"/>
              <w:szCs w:val="24"/>
            </w:rPr>
            <w:t>argumentação</w:t>
          </w:r>
          <w:r>
            <w:rPr>
              <w:rFonts w:eastAsia="Calibri" w:cstheme="minorHAnsi"/>
              <w:sz w:val="24"/>
              <w:szCs w:val="24"/>
            </w:rPr>
            <w:t>:</w:t>
          </w:r>
        </w:p>
        <w:p w14:paraId="03634092" w14:textId="46EA7D67" w:rsidR="0056359C" w:rsidRPr="000B2E12" w:rsidRDefault="0056359C" w:rsidP="000B2E12">
          <w:pPr>
            <w:spacing w:line="240" w:lineRule="auto"/>
            <w:jc w:val="both"/>
            <w:rPr>
              <w:rFonts w:eastAsia="Calibri" w:cstheme="minorHAnsi"/>
              <w:sz w:val="24"/>
              <w:szCs w:val="24"/>
              <w:lang w:val="en-US"/>
            </w:rPr>
          </w:pPr>
          <w:r w:rsidRPr="0056359C">
            <w:rPr>
              <w:rFonts w:eastAsia="Calibri" w:cstheme="minorHAnsi"/>
              <w:sz w:val="24"/>
              <w:szCs w:val="24"/>
            </w:rPr>
            <w:t xml:space="preserve">HUIZINGA, J. Homo </w:t>
          </w:r>
          <w:proofErr w:type="spellStart"/>
          <w:r w:rsidRPr="0056359C">
            <w:rPr>
              <w:rFonts w:eastAsia="Calibri" w:cstheme="minorHAnsi"/>
              <w:sz w:val="24"/>
              <w:szCs w:val="24"/>
            </w:rPr>
            <w:t>ludens</w:t>
          </w:r>
          <w:proofErr w:type="spellEnd"/>
          <w:r w:rsidRPr="0056359C">
            <w:rPr>
              <w:rFonts w:eastAsia="Calibri" w:cstheme="minorHAnsi"/>
              <w:sz w:val="24"/>
              <w:szCs w:val="24"/>
            </w:rPr>
            <w:t xml:space="preserve">: o jogo como elemento da cultura. 2a. </w:t>
          </w:r>
          <w:proofErr w:type="spellStart"/>
          <w:r w:rsidRPr="0056359C">
            <w:rPr>
              <w:rFonts w:eastAsia="Calibri" w:cstheme="minorHAnsi"/>
              <w:sz w:val="24"/>
              <w:szCs w:val="24"/>
            </w:rPr>
            <w:t>reimpr</w:t>
          </w:r>
          <w:proofErr w:type="spellEnd"/>
          <w:r w:rsidRPr="0056359C">
            <w:rPr>
              <w:rFonts w:eastAsia="Calibri" w:cstheme="minorHAnsi"/>
              <w:sz w:val="24"/>
              <w:szCs w:val="24"/>
            </w:rPr>
            <w:t xml:space="preserve">. 5a. ed. de 2001. </w:t>
          </w:r>
          <w:r w:rsidRPr="000B2E12">
            <w:rPr>
              <w:rFonts w:eastAsia="Calibri" w:cstheme="minorHAnsi"/>
              <w:sz w:val="24"/>
              <w:szCs w:val="24"/>
              <w:lang w:val="en-US"/>
            </w:rPr>
            <w:t xml:space="preserve">São Paulo: </w:t>
          </w:r>
          <w:proofErr w:type="spellStart"/>
          <w:r w:rsidRPr="000B2E12">
            <w:rPr>
              <w:rFonts w:eastAsia="Calibri" w:cstheme="minorHAnsi"/>
              <w:sz w:val="24"/>
              <w:szCs w:val="24"/>
              <w:lang w:val="en-US"/>
            </w:rPr>
            <w:t>Perspectiva</w:t>
          </w:r>
          <w:proofErr w:type="spellEnd"/>
          <w:r w:rsidRPr="000B2E12">
            <w:rPr>
              <w:rFonts w:eastAsia="Calibri" w:cstheme="minorHAnsi"/>
              <w:sz w:val="24"/>
              <w:szCs w:val="24"/>
              <w:lang w:val="en-US"/>
            </w:rPr>
            <w:t>, 2005.</w:t>
          </w:r>
        </w:p>
        <w:p w14:paraId="2CD9ADD6" w14:textId="31CF2290" w:rsidR="0056359C" w:rsidRDefault="0056359C" w:rsidP="000B2E12">
          <w:pPr>
            <w:spacing w:line="240" w:lineRule="auto"/>
            <w:jc w:val="both"/>
            <w:rPr>
              <w:rFonts w:eastAsia="Calibri" w:cstheme="minorHAnsi"/>
              <w:sz w:val="24"/>
              <w:szCs w:val="24"/>
            </w:rPr>
          </w:pPr>
          <w:r w:rsidRPr="000B2E12">
            <w:rPr>
              <w:rFonts w:eastAsia="Calibri" w:cstheme="minorHAnsi"/>
              <w:sz w:val="24"/>
              <w:szCs w:val="24"/>
              <w:lang w:val="en-US"/>
            </w:rPr>
            <w:t xml:space="preserve">NONAKA, I.; TOYAMA, R.; KONNO, N. SECI, </w:t>
          </w:r>
          <w:proofErr w:type="spellStart"/>
          <w:r w:rsidRPr="000B2E12">
            <w:rPr>
              <w:rFonts w:eastAsia="Calibri" w:cstheme="minorHAnsi"/>
              <w:sz w:val="24"/>
              <w:szCs w:val="24"/>
              <w:lang w:val="en-US"/>
            </w:rPr>
            <w:t>ba</w:t>
          </w:r>
          <w:proofErr w:type="spellEnd"/>
          <w:r w:rsidRPr="000B2E12">
            <w:rPr>
              <w:rFonts w:eastAsia="Calibri" w:cstheme="minorHAnsi"/>
              <w:sz w:val="24"/>
              <w:szCs w:val="24"/>
              <w:lang w:val="en-US"/>
            </w:rPr>
            <w:t xml:space="preserve"> and leadership: a unified model of dynamic knowledge creation. </w:t>
          </w:r>
          <w:proofErr w:type="spellStart"/>
          <w:r w:rsidRPr="0056359C">
            <w:rPr>
              <w:rFonts w:eastAsia="Calibri" w:cstheme="minorHAnsi"/>
              <w:sz w:val="24"/>
              <w:szCs w:val="24"/>
            </w:rPr>
            <w:t>Long</w:t>
          </w:r>
          <w:proofErr w:type="spellEnd"/>
          <w:r w:rsidRPr="0056359C">
            <w:rPr>
              <w:rFonts w:eastAsia="Calibri" w:cstheme="minorHAnsi"/>
              <w:sz w:val="24"/>
              <w:szCs w:val="24"/>
            </w:rPr>
            <w:t xml:space="preserve"> Range Planning, [S.L.], 33, p. 5-34, 2000.</w:t>
          </w:r>
        </w:p>
        <w:p w14:paraId="43CC7B2A" w14:textId="312CB5D5" w:rsidR="000B2E12" w:rsidRDefault="000B2E12" w:rsidP="000B2E12">
          <w:pPr>
            <w:spacing w:line="240" w:lineRule="auto"/>
            <w:jc w:val="both"/>
            <w:rPr>
              <w:rFonts w:eastAsia="Calibri" w:cstheme="minorHAnsi"/>
              <w:sz w:val="24"/>
              <w:szCs w:val="24"/>
            </w:rPr>
          </w:pPr>
          <w:r w:rsidRPr="000B2E12">
            <w:rPr>
              <w:rFonts w:eastAsia="Calibri" w:cstheme="minorHAnsi"/>
              <w:sz w:val="24"/>
              <w:szCs w:val="24"/>
            </w:rPr>
            <w:t xml:space="preserve">PEREIRA, K. UNIVERSIDADE FEDERAL DE SANTA CATARINA. O raciocínio </w:t>
          </w:r>
          <w:proofErr w:type="spellStart"/>
          <w:r w:rsidRPr="000B2E12">
            <w:rPr>
              <w:rFonts w:eastAsia="Calibri" w:cstheme="minorHAnsi"/>
              <w:sz w:val="24"/>
              <w:szCs w:val="24"/>
            </w:rPr>
            <w:t>abdutivo</w:t>
          </w:r>
          <w:proofErr w:type="spellEnd"/>
          <w:r w:rsidRPr="000B2E12">
            <w:rPr>
              <w:rFonts w:eastAsia="Calibri" w:cstheme="minorHAnsi"/>
              <w:sz w:val="24"/>
              <w:szCs w:val="24"/>
            </w:rPr>
            <w:t xml:space="preserve"> no jogo de</w:t>
          </w:r>
          <w:r>
            <w:rPr>
              <w:rFonts w:eastAsia="Calibri" w:cstheme="minorHAnsi"/>
              <w:sz w:val="24"/>
              <w:szCs w:val="24"/>
            </w:rPr>
            <w:t xml:space="preserve"> </w:t>
          </w:r>
          <w:r w:rsidRPr="000B2E12">
            <w:rPr>
              <w:rFonts w:eastAsia="Calibri" w:cstheme="minorHAnsi"/>
              <w:sz w:val="24"/>
              <w:szCs w:val="24"/>
            </w:rPr>
            <w:t>xadrez: a contribuição do conhecimento, intuição e consciência da situação para o processo criativo. 2010.</w:t>
          </w:r>
          <w:r>
            <w:rPr>
              <w:rFonts w:eastAsia="Calibri" w:cstheme="minorHAnsi"/>
              <w:sz w:val="24"/>
              <w:szCs w:val="24"/>
            </w:rPr>
            <w:t xml:space="preserve"> </w:t>
          </w:r>
          <w:r w:rsidRPr="000B2E12">
            <w:rPr>
              <w:rFonts w:eastAsia="Calibri" w:cstheme="minorHAnsi"/>
              <w:sz w:val="24"/>
              <w:szCs w:val="24"/>
            </w:rPr>
            <w:t>513 p. Tese (doutorado) - Universidade Federal de Santa Catarina, Programa de Pós-Graduação em</w:t>
          </w:r>
          <w:r>
            <w:rPr>
              <w:rFonts w:eastAsia="Calibri" w:cstheme="minorHAnsi"/>
              <w:sz w:val="24"/>
              <w:szCs w:val="24"/>
            </w:rPr>
            <w:t xml:space="preserve"> </w:t>
          </w:r>
          <w:r w:rsidRPr="000B2E12">
            <w:rPr>
              <w:rFonts w:eastAsia="Calibri" w:cstheme="minorHAnsi"/>
              <w:sz w:val="24"/>
              <w:szCs w:val="24"/>
            </w:rPr>
            <w:t>Engenharia e Gestão do Conhecimento, 2010. Disponível em: &lt;http://btd.egc.ufsc.br/?p=858&gt; Acesso em:</w:t>
          </w:r>
          <w:r>
            <w:rPr>
              <w:rFonts w:eastAsia="Calibri" w:cstheme="minorHAnsi"/>
              <w:sz w:val="24"/>
              <w:szCs w:val="24"/>
            </w:rPr>
            <w:t xml:space="preserve"> </w:t>
          </w:r>
          <w:r w:rsidRPr="000B2E12">
            <w:rPr>
              <w:rFonts w:eastAsia="Calibri" w:cstheme="minorHAnsi"/>
              <w:sz w:val="24"/>
              <w:szCs w:val="24"/>
            </w:rPr>
            <w:t>12 abr. 201</w:t>
          </w:r>
          <w:r>
            <w:rPr>
              <w:rFonts w:eastAsia="Calibri" w:cstheme="minorHAnsi"/>
              <w:sz w:val="24"/>
              <w:szCs w:val="24"/>
            </w:rPr>
            <w:t>9</w:t>
          </w:r>
          <w:r w:rsidRPr="000B2E12">
            <w:rPr>
              <w:rFonts w:eastAsia="Calibri" w:cstheme="minorHAnsi"/>
              <w:sz w:val="24"/>
              <w:szCs w:val="24"/>
            </w:rPr>
            <w:t>.</w:t>
          </w:r>
        </w:p>
        <w:p w14:paraId="5C4060E6" w14:textId="77777777" w:rsidR="000B2E12" w:rsidRDefault="000B2E12" w:rsidP="000B2E12">
          <w:pPr>
            <w:spacing w:line="240" w:lineRule="auto"/>
            <w:jc w:val="both"/>
            <w:rPr>
              <w:rFonts w:eastAsia="Calibri" w:cstheme="minorHAnsi"/>
              <w:sz w:val="24"/>
              <w:szCs w:val="24"/>
            </w:rPr>
          </w:pPr>
        </w:p>
        <w:p w14:paraId="2C3E832E" w14:textId="1FC1DDCF" w:rsidR="0056359C" w:rsidRDefault="0056359C" w:rsidP="007D5B15">
          <w:pPr>
            <w:jc w:val="both"/>
            <w:rPr>
              <w:rFonts w:eastAsia="Calibri" w:cstheme="minorHAnsi"/>
              <w:sz w:val="24"/>
              <w:szCs w:val="24"/>
            </w:rPr>
          </w:pPr>
          <w:r w:rsidRPr="0056359C">
            <w:rPr>
              <w:rFonts w:eastAsia="Calibri" w:cstheme="minorHAnsi"/>
              <w:sz w:val="24"/>
              <w:szCs w:val="24"/>
            </w:rPr>
            <w:t>RETONDAR, J. J. M.; Teoria do jogo: a dimensão lúdica da existência humana. Petrópolis, RJ: Vozes, 2007.</w:t>
          </w:r>
        </w:p>
        <w:p w14:paraId="77777A4C" w14:textId="77777777" w:rsidR="000B2E12" w:rsidRDefault="000B2E12" w:rsidP="007D5B15">
          <w:pPr>
            <w:jc w:val="both"/>
            <w:rPr>
              <w:rFonts w:eastAsia="Calibri" w:cstheme="minorHAnsi"/>
              <w:sz w:val="24"/>
              <w:szCs w:val="24"/>
            </w:rPr>
          </w:pPr>
        </w:p>
        <w:p w14:paraId="2899F34B" w14:textId="77777777" w:rsidR="00D570C5" w:rsidRPr="00D570C5" w:rsidRDefault="00D570C5" w:rsidP="007D5B15">
          <w:pPr>
            <w:jc w:val="both"/>
            <w:rPr>
              <w:rFonts w:eastAsia="Calibri" w:cstheme="minorHAnsi"/>
              <w:sz w:val="24"/>
              <w:szCs w:val="24"/>
            </w:rPr>
          </w:pPr>
          <w:r w:rsidRPr="00D570C5">
            <w:rPr>
              <w:rFonts w:eastAsia="Calibri" w:cstheme="minorHAnsi"/>
              <w:sz w:val="24"/>
              <w:szCs w:val="24"/>
            </w:rPr>
            <w:t xml:space="preserve">Questão 04: Mérito da Ação </w:t>
          </w:r>
        </w:p>
        <w:p w14:paraId="35174AAE" w14:textId="271CB330" w:rsidR="00D570C5" w:rsidRPr="00D570C5" w:rsidRDefault="00D570C5" w:rsidP="007D5B15">
          <w:pPr>
            <w:jc w:val="both"/>
            <w:rPr>
              <w:rFonts w:eastAsia="Calibri" w:cstheme="minorHAnsi"/>
              <w:sz w:val="24"/>
              <w:szCs w:val="24"/>
            </w:rPr>
          </w:pPr>
          <w:r w:rsidRPr="00D570C5">
            <w:rPr>
              <w:rFonts w:eastAsia="Calibri" w:cstheme="minorHAnsi"/>
              <w:sz w:val="24"/>
              <w:szCs w:val="24"/>
            </w:rPr>
            <w:t xml:space="preserve">O avaliador indicou haver apenas uma contribuição parcial considerando as áreas da extensão, que na atuação do </w:t>
          </w:r>
          <w:proofErr w:type="spellStart"/>
          <w:r w:rsidRPr="00D570C5">
            <w:rPr>
              <w:rFonts w:eastAsia="Calibri" w:cstheme="minorHAnsi"/>
              <w:sz w:val="24"/>
              <w:szCs w:val="24"/>
            </w:rPr>
            <w:t>NexT</w:t>
          </w:r>
          <w:proofErr w:type="spellEnd"/>
          <w:r w:rsidRPr="00D570C5">
            <w:rPr>
              <w:rFonts w:eastAsia="Calibri" w:cstheme="minorHAnsi"/>
              <w:sz w:val="24"/>
              <w:szCs w:val="24"/>
            </w:rPr>
            <w:t xml:space="preserve"> envolve, principalmente, os quesitos social, cultural e esportivo.  Acreditamos, no entanto, que o </w:t>
          </w:r>
          <w:proofErr w:type="spellStart"/>
          <w:r w:rsidRPr="00D570C5">
            <w:rPr>
              <w:rFonts w:eastAsia="Calibri" w:cstheme="minorHAnsi"/>
              <w:sz w:val="24"/>
              <w:szCs w:val="24"/>
            </w:rPr>
            <w:t>NexT</w:t>
          </w:r>
          <w:proofErr w:type="spellEnd"/>
          <w:r w:rsidRPr="00D570C5">
            <w:rPr>
              <w:rFonts w:eastAsia="Calibri" w:cstheme="minorHAnsi"/>
              <w:sz w:val="24"/>
              <w:szCs w:val="24"/>
            </w:rPr>
            <w:t xml:space="preserve">, um programa de extensão que já atua há mais de oito anos junto à comunidade, tem demonstrado concretizar diversas ações com amplo potencial de inserção social, cultural e esportiva, afirmação </w:t>
          </w:r>
          <w:proofErr w:type="spellStart"/>
          <w:r w:rsidRPr="00D570C5">
            <w:rPr>
              <w:rFonts w:eastAsia="Calibri" w:cstheme="minorHAnsi"/>
              <w:sz w:val="24"/>
              <w:szCs w:val="24"/>
            </w:rPr>
            <w:t>esta</w:t>
          </w:r>
          <w:proofErr w:type="spellEnd"/>
          <w:r w:rsidRPr="00D570C5">
            <w:rPr>
              <w:rFonts w:eastAsia="Calibri" w:cstheme="minorHAnsi"/>
              <w:sz w:val="24"/>
              <w:szCs w:val="24"/>
            </w:rPr>
            <w:t xml:space="preserve"> amparada nas diversas parcerias que o </w:t>
          </w:r>
          <w:proofErr w:type="spellStart"/>
          <w:r w:rsidRPr="00D570C5">
            <w:rPr>
              <w:rFonts w:eastAsia="Calibri" w:cstheme="minorHAnsi"/>
              <w:sz w:val="24"/>
              <w:szCs w:val="24"/>
            </w:rPr>
            <w:t>NexT</w:t>
          </w:r>
          <w:proofErr w:type="spellEnd"/>
          <w:r w:rsidRPr="00D570C5">
            <w:rPr>
              <w:rFonts w:eastAsia="Calibri" w:cstheme="minorHAnsi"/>
              <w:sz w:val="24"/>
              <w:szCs w:val="24"/>
            </w:rPr>
            <w:t xml:space="preserve"> tem estabelecido com diversos órgãos públicos e privados (mais de 17 parcerias). A título de exemplo, pode-se citar a parceria com a Secretaria de Esportes do Município de Joinville (SESPORTE) e com o Novo Xadrez Joinville (NXJ), para atender alunos de escolas públicas interessados em xadrez que se enquadrem na condição de 'vulnerabilidade social'. Esta ação/parceria é fruto de uma demanda solicitada de público externo. É preciso frisar que já está na proposição fundamental do </w:t>
          </w:r>
          <w:proofErr w:type="spellStart"/>
          <w:r w:rsidRPr="00D570C5">
            <w:rPr>
              <w:rFonts w:eastAsia="Calibri" w:cstheme="minorHAnsi"/>
              <w:sz w:val="24"/>
              <w:szCs w:val="24"/>
            </w:rPr>
            <w:t>NexT</w:t>
          </w:r>
          <w:proofErr w:type="spellEnd"/>
          <w:r w:rsidRPr="00D570C5">
            <w:rPr>
              <w:rFonts w:eastAsia="Calibri" w:cstheme="minorHAnsi"/>
              <w:sz w:val="24"/>
              <w:szCs w:val="24"/>
            </w:rPr>
            <w:t xml:space="preserve">, como já destacado em diversos itens no texto do projeto, o interesse e o objetivo em atender adolescentes e jovens provenientes de escolas públicas, para que conheçam e se integrem a atividades da UDESC, seus cursos e seus projetos. A possibilidade de atender alunos em vulnerabilidade social, com a indicação e assistência da Secretaria de Esportes do Município de Joinville, é um novo e estimulante desafio, que amplia e destaca ainda mais o potencial social das ações propostas pelo </w:t>
          </w:r>
          <w:proofErr w:type="spellStart"/>
          <w:r w:rsidRPr="00D570C5">
            <w:rPr>
              <w:rFonts w:eastAsia="Calibri" w:cstheme="minorHAnsi"/>
              <w:sz w:val="24"/>
              <w:szCs w:val="24"/>
            </w:rPr>
            <w:t>NexT</w:t>
          </w:r>
          <w:proofErr w:type="spellEnd"/>
          <w:r w:rsidRPr="00D570C5">
            <w:rPr>
              <w:rFonts w:eastAsia="Calibri" w:cstheme="minorHAnsi"/>
              <w:sz w:val="24"/>
              <w:szCs w:val="24"/>
            </w:rPr>
            <w:t xml:space="preserve"> neste edital. Esta parceria também possibilitou a ampliação do atendimento à comunidade externa por meio de um espaço cedido pela UDESC ao NXJ nas dependências da UDESC Joinville Centro (nos fundos de onde está localizada a Fundação </w:t>
          </w:r>
          <w:proofErr w:type="spellStart"/>
          <w:r w:rsidRPr="00D570C5">
            <w:rPr>
              <w:rFonts w:eastAsia="Calibri" w:cstheme="minorHAnsi"/>
              <w:sz w:val="24"/>
              <w:szCs w:val="24"/>
            </w:rPr>
            <w:t>Softville</w:t>
          </w:r>
          <w:proofErr w:type="spellEnd"/>
          <w:r w:rsidRPr="00D570C5">
            <w:rPr>
              <w:rFonts w:eastAsia="Calibri" w:cstheme="minorHAnsi"/>
              <w:sz w:val="24"/>
              <w:szCs w:val="24"/>
            </w:rPr>
            <w:t xml:space="preserve">, na Rua Otto Boehm, </w:t>
          </w:r>
          <w:proofErr w:type="spellStart"/>
          <w:r w:rsidRPr="00D570C5">
            <w:rPr>
              <w:rFonts w:eastAsia="Calibri" w:cstheme="minorHAnsi"/>
              <w:sz w:val="24"/>
              <w:szCs w:val="24"/>
            </w:rPr>
            <w:t>nr</w:t>
          </w:r>
          <w:proofErr w:type="spellEnd"/>
          <w:r w:rsidRPr="00D570C5">
            <w:rPr>
              <w:rFonts w:eastAsia="Calibri" w:cstheme="minorHAnsi"/>
              <w:sz w:val="24"/>
              <w:szCs w:val="24"/>
            </w:rPr>
            <w:t>. 48). Tratava-se de um espaço em condições precárias, com problemas no telhado, gerando vazamentos e infiltraç</w:t>
          </w:r>
          <w:r w:rsidR="001B6FDA">
            <w:rPr>
              <w:rFonts w:eastAsia="Calibri" w:cstheme="minorHAnsi"/>
              <w:sz w:val="24"/>
              <w:szCs w:val="24"/>
            </w:rPr>
            <w:t>ões</w:t>
          </w:r>
          <w:r w:rsidRPr="00D570C5">
            <w:rPr>
              <w:rFonts w:eastAsia="Calibri" w:cstheme="minorHAnsi"/>
              <w:sz w:val="24"/>
              <w:szCs w:val="24"/>
            </w:rPr>
            <w:t xml:space="preserve">. Tais problemas foram corrigidos através de um investimento próprio, de origem privada, em uma ação que contou com a colaboração dos membros do NXJ. Além do conserto do telhado, também foram pintadas as paredes, de forma que o ambiente já se encontra operacional, com móveis obtidos por meio de doações da iniciativa privada (fotos desse ambiente podem ser consultadas no blog do </w:t>
          </w:r>
          <w:proofErr w:type="spellStart"/>
          <w:r w:rsidRPr="00D570C5">
            <w:rPr>
              <w:rFonts w:eastAsia="Calibri" w:cstheme="minorHAnsi"/>
              <w:sz w:val="24"/>
              <w:szCs w:val="24"/>
            </w:rPr>
            <w:t>NexT</w:t>
          </w:r>
          <w:proofErr w:type="spellEnd"/>
          <w:r w:rsidRPr="00D570C5">
            <w:rPr>
              <w:rFonts w:eastAsia="Calibri" w:cstheme="minorHAnsi"/>
              <w:sz w:val="24"/>
              <w:szCs w:val="24"/>
            </w:rPr>
            <w:t xml:space="preserve">: </w:t>
          </w:r>
          <w:hyperlink r:id="rId7" w:history="1">
            <w:r w:rsidR="00376235" w:rsidRPr="008C45F2">
              <w:rPr>
                <w:rStyle w:val="Hyperlink"/>
                <w:rFonts w:eastAsia="Calibri" w:cstheme="minorHAnsi"/>
                <w:sz w:val="24"/>
                <w:szCs w:val="24"/>
              </w:rPr>
              <w:t>http://nextxadrez.blogspot.com/</w:t>
            </w:r>
          </w:hyperlink>
          <w:r w:rsidRPr="00D570C5">
            <w:rPr>
              <w:rFonts w:eastAsia="Calibri" w:cstheme="minorHAnsi"/>
              <w:sz w:val="24"/>
              <w:szCs w:val="24"/>
            </w:rPr>
            <w:t xml:space="preserve">, mais especificamente, no seguinte post: </w:t>
          </w:r>
          <w:hyperlink r:id="rId8" w:history="1">
            <w:r w:rsidR="00376235" w:rsidRPr="008C45F2">
              <w:rPr>
                <w:rStyle w:val="Hyperlink"/>
                <w:rFonts w:eastAsia="Calibri" w:cstheme="minorHAnsi"/>
                <w:sz w:val="24"/>
                <w:szCs w:val="24"/>
              </w:rPr>
              <w:t>http://nextxadrez.blogspot.com/2019/10/inicio-espaco-next-nxj-04102019.html</w:t>
            </w:r>
          </w:hyperlink>
          <w:r w:rsidRPr="00D570C5">
            <w:rPr>
              <w:rFonts w:eastAsia="Calibri" w:cstheme="minorHAnsi"/>
              <w:sz w:val="24"/>
              <w:szCs w:val="24"/>
            </w:rPr>
            <w:t xml:space="preserve">). Essa iniciativa, por si só, já dá plena caracterização ao importante impacto social de nossos projetos, bem como o pleno atendimento à comunidade com vistas à autonomia de nossas ações, uma vez que já estamos conquistando interesses e investimentos externos. </w:t>
          </w:r>
        </w:p>
        <w:p w14:paraId="5998C528" w14:textId="6DE68B39" w:rsidR="00D570C5" w:rsidRPr="00D570C5" w:rsidRDefault="00D570C5" w:rsidP="007D5B15">
          <w:pPr>
            <w:jc w:val="both"/>
            <w:rPr>
              <w:rFonts w:eastAsia="Calibri" w:cstheme="minorHAnsi"/>
              <w:sz w:val="24"/>
              <w:szCs w:val="24"/>
            </w:rPr>
          </w:pPr>
          <w:r w:rsidRPr="00D570C5">
            <w:rPr>
              <w:rFonts w:eastAsia="Calibri" w:cstheme="minorHAnsi"/>
              <w:sz w:val="24"/>
              <w:szCs w:val="24"/>
            </w:rPr>
            <w:t xml:space="preserve">Ao se mencionar investimentos externos, </w:t>
          </w:r>
          <w:r w:rsidR="001B6FDA">
            <w:rPr>
              <w:rFonts w:eastAsia="Calibri" w:cstheme="minorHAnsi"/>
              <w:sz w:val="24"/>
              <w:szCs w:val="24"/>
            </w:rPr>
            <w:t xml:space="preserve">também </w:t>
          </w:r>
          <w:r w:rsidRPr="00D570C5">
            <w:rPr>
              <w:rFonts w:eastAsia="Calibri" w:cstheme="minorHAnsi"/>
              <w:sz w:val="24"/>
              <w:szCs w:val="24"/>
            </w:rPr>
            <w:t xml:space="preserve">cabe </w:t>
          </w:r>
          <w:r w:rsidR="00FA1B6E">
            <w:rPr>
              <w:rFonts w:eastAsia="Calibri" w:cstheme="minorHAnsi"/>
              <w:sz w:val="24"/>
              <w:szCs w:val="24"/>
            </w:rPr>
            <w:t>salientar</w:t>
          </w:r>
          <w:r w:rsidR="001B6FDA">
            <w:rPr>
              <w:rFonts w:eastAsia="Calibri" w:cstheme="minorHAnsi"/>
              <w:sz w:val="24"/>
              <w:szCs w:val="24"/>
            </w:rPr>
            <w:t>, a título de exemplo,</w:t>
          </w:r>
          <w:r w:rsidRPr="00D570C5">
            <w:rPr>
              <w:rFonts w:eastAsia="Calibri" w:cstheme="minorHAnsi"/>
              <w:sz w:val="24"/>
              <w:szCs w:val="24"/>
            </w:rPr>
            <w:t xml:space="preserve"> que fomos contatados, durante o mês de janeiro de 2020, pela presidência da Confederação Brasileira de Xadrez Escolar (CBXE) para a realização, na UDESC Joinville, de um evento com convidados internacionais, com investimento total da CBXE, sem custo para a UDESC. O evento está previsto, em princípio, para acontecer em agosto de 2020. Esse evento terá implicações sociais, culturais, esportivas e científicas, e demonstra, mais uma vez, a progressiva autonomia que o </w:t>
          </w:r>
          <w:proofErr w:type="spellStart"/>
          <w:r w:rsidRPr="00D570C5">
            <w:rPr>
              <w:rFonts w:eastAsia="Calibri" w:cstheme="minorHAnsi"/>
              <w:sz w:val="24"/>
              <w:szCs w:val="24"/>
            </w:rPr>
            <w:t>NexT</w:t>
          </w:r>
          <w:proofErr w:type="spellEnd"/>
          <w:r w:rsidRPr="00D570C5">
            <w:rPr>
              <w:rFonts w:eastAsia="Calibri" w:cstheme="minorHAnsi"/>
              <w:sz w:val="24"/>
              <w:szCs w:val="24"/>
            </w:rPr>
            <w:t xml:space="preserve"> vem desenvolvendo em suas ações de extensão, com o apoio de entidades e parceiros externos.</w:t>
          </w:r>
        </w:p>
        <w:p w14:paraId="1E52B569" w14:textId="660632B7" w:rsidR="007D55F7" w:rsidRDefault="007D55F7" w:rsidP="007D5B15">
          <w:pPr>
            <w:jc w:val="both"/>
            <w:rPr>
              <w:rFonts w:eastAsia="Calibri" w:cstheme="minorHAnsi"/>
              <w:sz w:val="24"/>
              <w:szCs w:val="24"/>
            </w:rPr>
          </w:pPr>
        </w:p>
        <w:p w14:paraId="16D491D1" w14:textId="526575BD" w:rsidR="007D55F7" w:rsidRDefault="007D55F7" w:rsidP="007D5B15">
          <w:pPr>
            <w:jc w:val="both"/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lastRenderedPageBreak/>
            <w:t>Questão 06: Envolvimento Intersetorial</w:t>
          </w:r>
        </w:p>
        <w:p w14:paraId="6FC10A21" w14:textId="7E6B9B6C" w:rsidR="007D55F7" w:rsidRPr="007D55F7" w:rsidRDefault="007D55F7" w:rsidP="007D5B15">
          <w:pPr>
            <w:jc w:val="both"/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>O</w:t>
          </w:r>
          <w:r w:rsidRPr="007D55F7">
            <w:rPr>
              <w:rFonts w:eastAsia="Calibri" w:cstheme="minorHAnsi"/>
              <w:sz w:val="24"/>
              <w:szCs w:val="24"/>
            </w:rPr>
            <w:t xml:space="preserve"> avaliador indicou </w:t>
          </w:r>
          <w:r>
            <w:rPr>
              <w:rFonts w:eastAsia="Calibri" w:cstheme="minorHAnsi"/>
              <w:sz w:val="24"/>
              <w:szCs w:val="24"/>
            </w:rPr>
            <w:t>o programa como sendo apenas “Interações”</w:t>
          </w:r>
          <w:r w:rsidRPr="007D55F7">
            <w:rPr>
              <w:rFonts w:eastAsia="Calibri" w:cstheme="minorHAnsi"/>
              <w:sz w:val="24"/>
              <w:szCs w:val="24"/>
            </w:rPr>
            <w:t xml:space="preserve">, quando, na verdade, o programa </w:t>
          </w:r>
          <w:proofErr w:type="spellStart"/>
          <w:r w:rsidRPr="007D55F7">
            <w:rPr>
              <w:rFonts w:eastAsia="Calibri" w:cstheme="minorHAnsi"/>
              <w:sz w:val="24"/>
              <w:szCs w:val="24"/>
            </w:rPr>
            <w:t>NexT</w:t>
          </w:r>
          <w:proofErr w:type="spellEnd"/>
          <w:r w:rsidRPr="007D55F7">
            <w:rPr>
              <w:rFonts w:eastAsia="Calibri" w:cstheme="minorHAnsi"/>
              <w:sz w:val="24"/>
              <w:szCs w:val="24"/>
            </w:rPr>
            <w:t xml:space="preserve"> é INTER</w:t>
          </w:r>
          <w:r>
            <w:rPr>
              <w:rFonts w:eastAsia="Calibri" w:cstheme="minorHAnsi"/>
              <w:sz w:val="24"/>
              <w:szCs w:val="24"/>
            </w:rPr>
            <w:t>CENTROS e INTERINSTITUCIONAL</w:t>
          </w:r>
          <w:r w:rsidRPr="007D55F7">
            <w:rPr>
              <w:rFonts w:eastAsia="Calibri" w:cstheme="minorHAnsi"/>
              <w:sz w:val="24"/>
              <w:szCs w:val="24"/>
            </w:rPr>
            <w:t xml:space="preserve">, envolvendo professores e alunos de diversos departamentos do CCT </w:t>
          </w:r>
          <w:r>
            <w:rPr>
              <w:rFonts w:eastAsia="Calibri" w:cstheme="minorHAnsi"/>
              <w:sz w:val="24"/>
              <w:szCs w:val="24"/>
            </w:rPr>
            <w:t xml:space="preserve"> e de outros Centros, como o CEPLAN</w:t>
          </w:r>
          <w:r w:rsidR="003B6940">
            <w:rPr>
              <w:rFonts w:eastAsia="Calibri" w:cstheme="minorHAnsi"/>
              <w:sz w:val="24"/>
              <w:szCs w:val="24"/>
            </w:rPr>
            <w:t xml:space="preserve"> (Centro de Educação do Planalto Norte, em São Bento do Sul – SC)</w:t>
          </w:r>
          <w:r w:rsidR="00376235">
            <w:rPr>
              <w:rFonts w:eastAsia="Calibri" w:cstheme="minorHAnsi"/>
              <w:sz w:val="24"/>
              <w:szCs w:val="24"/>
            </w:rPr>
            <w:t xml:space="preserve"> e também de outras instituições</w:t>
          </w:r>
          <w:r>
            <w:rPr>
              <w:rFonts w:eastAsia="Calibri" w:cstheme="minorHAnsi"/>
              <w:sz w:val="24"/>
              <w:szCs w:val="24"/>
            </w:rPr>
            <w:t xml:space="preserve">. O </w:t>
          </w:r>
          <w:proofErr w:type="spellStart"/>
          <w:r>
            <w:rPr>
              <w:rFonts w:eastAsia="Calibri" w:cstheme="minorHAnsi"/>
              <w:sz w:val="24"/>
              <w:szCs w:val="24"/>
            </w:rPr>
            <w:t>NexT</w:t>
          </w:r>
          <w:proofErr w:type="spellEnd"/>
          <w:r>
            <w:rPr>
              <w:rFonts w:eastAsia="Calibri" w:cstheme="minorHAnsi"/>
              <w:sz w:val="24"/>
              <w:szCs w:val="24"/>
            </w:rPr>
            <w:t xml:space="preserve"> prevê atividades,</w:t>
          </w:r>
          <w:r w:rsidR="003B6940">
            <w:rPr>
              <w:rFonts w:eastAsia="Calibri" w:cstheme="minorHAnsi"/>
              <w:sz w:val="24"/>
              <w:szCs w:val="24"/>
            </w:rPr>
            <w:t xml:space="preserve"> na forma de consórcio, rede ou parceria,</w:t>
          </w:r>
          <w:r>
            <w:rPr>
              <w:rFonts w:eastAsia="Calibri" w:cstheme="minorHAnsi"/>
              <w:sz w:val="24"/>
              <w:szCs w:val="24"/>
            </w:rPr>
            <w:t xml:space="preserve"> como descrito ao longo do texto do projeto, no CCT, no CEPLAN e no CEART</w:t>
          </w:r>
          <w:r w:rsidR="003B6940">
            <w:rPr>
              <w:rFonts w:eastAsia="Calibri" w:cstheme="minorHAnsi"/>
              <w:sz w:val="24"/>
              <w:szCs w:val="24"/>
            </w:rPr>
            <w:t xml:space="preserve"> (Centro de Artes da UDESC, Florianópolis – SC)</w:t>
          </w:r>
          <w:r>
            <w:rPr>
              <w:rFonts w:eastAsia="Calibri" w:cstheme="minorHAnsi"/>
              <w:sz w:val="24"/>
              <w:szCs w:val="24"/>
            </w:rPr>
            <w:t>, além de atividades previstas também na sede de outros parceiros</w:t>
          </w:r>
          <w:r w:rsidR="003B6940">
            <w:rPr>
              <w:rFonts w:eastAsia="Calibri" w:cstheme="minorHAnsi"/>
              <w:sz w:val="24"/>
              <w:szCs w:val="24"/>
            </w:rPr>
            <w:t xml:space="preserve"> externos</w:t>
          </w:r>
          <w:r>
            <w:rPr>
              <w:rFonts w:eastAsia="Calibri" w:cstheme="minorHAnsi"/>
              <w:sz w:val="24"/>
              <w:szCs w:val="24"/>
            </w:rPr>
            <w:t>, sejam instituições de ensino e/ou universidades como a UFSC – Universidade Federal de Santa Catarina (o que já aconteceu durante o ano de 2019), sejam instituição de cunho artístico-cultural, como o Museu de Arte de Joinville (MAJ)</w:t>
          </w:r>
          <w:r w:rsidR="003B6940">
            <w:rPr>
              <w:rFonts w:eastAsia="Calibri" w:cstheme="minorHAnsi"/>
              <w:sz w:val="24"/>
              <w:szCs w:val="24"/>
            </w:rPr>
            <w:t xml:space="preserve">, cujas ações também já se iniciaram em 2019 (vide posts no blog do </w:t>
          </w:r>
          <w:proofErr w:type="spellStart"/>
          <w:r w:rsidR="003B6940">
            <w:rPr>
              <w:rFonts w:eastAsia="Calibri" w:cstheme="minorHAnsi"/>
              <w:sz w:val="24"/>
              <w:szCs w:val="24"/>
            </w:rPr>
            <w:t>NexT</w:t>
          </w:r>
          <w:proofErr w:type="spellEnd"/>
          <w:r w:rsidR="003B6940">
            <w:rPr>
              <w:rFonts w:eastAsia="Calibri" w:cstheme="minorHAnsi"/>
              <w:sz w:val="24"/>
              <w:szCs w:val="24"/>
            </w:rPr>
            <w:t xml:space="preserve">: </w:t>
          </w:r>
          <w:hyperlink r:id="rId9" w:history="1">
            <w:r w:rsidR="003B6940" w:rsidRPr="00A8780B">
              <w:rPr>
                <w:rStyle w:val="Hyperlink"/>
                <w:rFonts w:eastAsia="Calibri" w:cstheme="minorHAnsi"/>
                <w:sz w:val="24"/>
                <w:szCs w:val="24"/>
              </w:rPr>
              <w:t>http://nextxadrez.blogspot.com/</w:t>
            </w:r>
          </w:hyperlink>
          <w:r w:rsidR="003B6940">
            <w:rPr>
              <w:rFonts w:eastAsia="Calibri" w:cstheme="minorHAnsi"/>
              <w:sz w:val="24"/>
              <w:szCs w:val="24"/>
            </w:rPr>
            <w:t xml:space="preserve"> e na página do </w:t>
          </w:r>
          <w:proofErr w:type="spellStart"/>
          <w:r w:rsidR="003B6940">
            <w:rPr>
              <w:rFonts w:eastAsia="Calibri" w:cstheme="minorHAnsi"/>
              <w:sz w:val="24"/>
              <w:szCs w:val="24"/>
            </w:rPr>
            <w:t>NexT</w:t>
          </w:r>
          <w:proofErr w:type="spellEnd"/>
          <w:r w:rsidR="003B6940">
            <w:rPr>
              <w:rFonts w:eastAsia="Calibri" w:cstheme="minorHAnsi"/>
              <w:sz w:val="24"/>
              <w:szCs w:val="24"/>
            </w:rPr>
            <w:t xml:space="preserve"> no Facebook: </w:t>
          </w:r>
          <w:hyperlink r:id="rId10" w:history="1">
            <w:r w:rsidR="003B6940" w:rsidRPr="00A8780B">
              <w:rPr>
                <w:rStyle w:val="Hyperlink"/>
                <w:rFonts w:eastAsia="Calibri" w:cstheme="minorHAnsi"/>
                <w:sz w:val="24"/>
                <w:szCs w:val="24"/>
              </w:rPr>
              <w:t>https://www.facebook.com/nextxadrez</w:t>
            </w:r>
          </w:hyperlink>
          <w:r w:rsidR="003B6940">
            <w:rPr>
              <w:rFonts w:eastAsia="Calibri" w:cstheme="minorHAnsi"/>
              <w:sz w:val="24"/>
              <w:szCs w:val="24"/>
            </w:rPr>
            <w:t>).</w:t>
          </w:r>
          <w:r w:rsidRPr="007D55F7">
            <w:rPr>
              <w:rFonts w:eastAsia="Calibri" w:cstheme="minorHAnsi"/>
              <w:sz w:val="24"/>
              <w:szCs w:val="24"/>
            </w:rPr>
            <w:t xml:space="preserve"> </w:t>
          </w:r>
          <w:r w:rsidR="003B6940">
            <w:rPr>
              <w:rFonts w:eastAsia="Calibri" w:cstheme="minorHAnsi"/>
              <w:sz w:val="24"/>
              <w:szCs w:val="24"/>
            </w:rPr>
            <w:t xml:space="preserve">Como anexo ao projeto, e também anexadas no </w:t>
          </w:r>
          <w:proofErr w:type="spellStart"/>
          <w:r w:rsidR="003B6940">
            <w:rPr>
              <w:rFonts w:eastAsia="Calibri" w:cstheme="minorHAnsi"/>
              <w:sz w:val="24"/>
              <w:szCs w:val="24"/>
            </w:rPr>
            <w:t>SGPe</w:t>
          </w:r>
          <w:proofErr w:type="spellEnd"/>
          <w:r w:rsidR="003B6940">
            <w:rPr>
              <w:rFonts w:eastAsia="Calibri" w:cstheme="minorHAnsi"/>
              <w:sz w:val="24"/>
              <w:szCs w:val="24"/>
            </w:rPr>
            <w:t>, estão as cartas assinadas comprovando mais de 17 parcerias, incluindo o CEART, o CEPLAN, a UFSC e várias outras entidades externas.</w:t>
          </w:r>
        </w:p>
        <w:p w14:paraId="4CB021EA" w14:textId="77777777" w:rsidR="006D6235" w:rsidRDefault="006D6235" w:rsidP="007D5B15">
          <w:pPr>
            <w:jc w:val="both"/>
            <w:rPr>
              <w:rFonts w:eastAsia="Calibri" w:cstheme="minorHAnsi"/>
              <w:sz w:val="24"/>
              <w:szCs w:val="24"/>
            </w:rPr>
          </w:pPr>
        </w:p>
        <w:p w14:paraId="3D7069A9" w14:textId="77777777" w:rsidR="00851AA6" w:rsidRDefault="00851AA6" w:rsidP="007D5B15">
          <w:pPr>
            <w:jc w:val="both"/>
            <w:rPr>
              <w:rFonts w:eastAsia="Calibri" w:cstheme="minorHAnsi"/>
              <w:sz w:val="24"/>
              <w:szCs w:val="24"/>
            </w:rPr>
          </w:pPr>
          <w:r w:rsidRPr="00851AA6">
            <w:rPr>
              <w:rFonts w:eastAsia="Calibri" w:cstheme="minorHAnsi"/>
              <w:sz w:val="24"/>
              <w:szCs w:val="24"/>
            </w:rPr>
            <w:t xml:space="preserve">Questão </w:t>
          </w:r>
          <w:r>
            <w:rPr>
              <w:rFonts w:eastAsia="Calibri" w:cstheme="minorHAnsi"/>
              <w:sz w:val="24"/>
              <w:szCs w:val="24"/>
            </w:rPr>
            <w:t>09</w:t>
          </w:r>
          <w:r w:rsidRPr="00851AA6">
            <w:rPr>
              <w:rFonts w:eastAsia="Calibri" w:cstheme="minorHAnsi"/>
              <w:sz w:val="24"/>
              <w:szCs w:val="24"/>
            </w:rPr>
            <w:t xml:space="preserve">: Compatibilidade entre os recursos </w:t>
          </w:r>
        </w:p>
        <w:p w14:paraId="5F7BD68F" w14:textId="0CCC09FF" w:rsidR="00851AA6" w:rsidRDefault="00851AA6" w:rsidP="007D5B15">
          <w:pPr>
            <w:jc w:val="both"/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>O</w:t>
          </w:r>
          <w:r w:rsidRPr="00851AA6">
            <w:rPr>
              <w:rFonts w:eastAsia="Calibri" w:cstheme="minorHAnsi"/>
              <w:sz w:val="24"/>
              <w:szCs w:val="24"/>
            </w:rPr>
            <w:t xml:space="preserve"> avaliador indicou não serem integralmente compatíveis os recursos solicitados com as exigências da ação. No item 1.6.4 do texto do projeto (Metodologia e Avaliação) é apresentada, em detalhes, toda a metodologia desenvolvida pelo </w:t>
          </w:r>
          <w:proofErr w:type="spellStart"/>
          <w:r w:rsidRPr="00851AA6">
            <w:rPr>
              <w:rFonts w:eastAsia="Calibri" w:cstheme="minorHAnsi"/>
              <w:sz w:val="24"/>
              <w:szCs w:val="24"/>
            </w:rPr>
            <w:t>NexT</w:t>
          </w:r>
          <w:proofErr w:type="spellEnd"/>
          <w:r w:rsidRPr="00851AA6">
            <w:rPr>
              <w:rFonts w:eastAsia="Calibri" w:cstheme="minorHAnsi"/>
              <w:sz w:val="24"/>
              <w:szCs w:val="24"/>
            </w:rPr>
            <w:t>, em que fica evidente a necessidade dos recursos solicitados na presente proposta (materiais de consumo,</w:t>
          </w:r>
          <w:r w:rsidR="0019344B">
            <w:rPr>
              <w:rFonts w:eastAsia="Calibri" w:cstheme="minorHAnsi"/>
              <w:sz w:val="24"/>
              <w:szCs w:val="24"/>
            </w:rPr>
            <w:t xml:space="preserve"> jogos de xadrez,</w:t>
          </w:r>
          <w:r w:rsidRPr="00851AA6">
            <w:rPr>
              <w:rFonts w:eastAsia="Calibri" w:cstheme="minorHAnsi"/>
              <w:sz w:val="24"/>
              <w:szCs w:val="24"/>
            </w:rPr>
            <w:t xml:space="preserve"> fotocópias, e equipamentos de informática). As fotocópias serão utilizadas para a impressão de materiais didáticos a serem </w:t>
          </w:r>
          <w:r w:rsidR="002B571D">
            <w:rPr>
              <w:rFonts w:eastAsia="Calibri" w:cstheme="minorHAnsi"/>
              <w:sz w:val="24"/>
              <w:szCs w:val="24"/>
            </w:rPr>
            <w:t>empregados</w:t>
          </w:r>
          <w:r w:rsidRPr="00851AA6">
            <w:rPr>
              <w:rFonts w:eastAsia="Calibri" w:cstheme="minorHAnsi"/>
              <w:sz w:val="24"/>
              <w:szCs w:val="24"/>
            </w:rPr>
            <w:t xml:space="preserve"> nos cursos de xadrez do projeto 'Aprenda Xadrez na Universidade' (antigo 'Cursos de Xadrez na Universidade</w:t>
          </w:r>
          <w:r>
            <w:rPr>
              <w:rFonts w:eastAsia="Calibri" w:cstheme="minorHAnsi"/>
              <w:sz w:val="24"/>
              <w:szCs w:val="24"/>
            </w:rPr>
            <w:t>’)</w:t>
          </w:r>
          <w:r w:rsidR="00A23CBB">
            <w:rPr>
              <w:rFonts w:eastAsia="Calibri" w:cstheme="minorHAnsi"/>
              <w:sz w:val="24"/>
              <w:szCs w:val="24"/>
            </w:rPr>
            <w:t xml:space="preserve"> e também no projeto ‘Alto Rendimento em Xadrez’</w:t>
          </w:r>
          <w:r w:rsidRPr="00851AA6">
            <w:rPr>
              <w:rFonts w:eastAsia="Calibri" w:cstheme="minorHAnsi"/>
              <w:sz w:val="24"/>
              <w:szCs w:val="24"/>
            </w:rPr>
            <w:t xml:space="preserve">, como livros, apostilas e exercícios, e também para a impressão de materiais para divulgação das ações do </w:t>
          </w:r>
          <w:proofErr w:type="spellStart"/>
          <w:r w:rsidRPr="00851AA6">
            <w:rPr>
              <w:rFonts w:eastAsia="Calibri" w:cstheme="minorHAnsi"/>
              <w:sz w:val="24"/>
              <w:szCs w:val="24"/>
            </w:rPr>
            <w:t>NexT</w:t>
          </w:r>
          <w:proofErr w:type="spellEnd"/>
          <w:r w:rsidR="00A23CBB">
            <w:rPr>
              <w:rFonts w:eastAsia="Calibri" w:cstheme="minorHAnsi"/>
              <w:sz w:val="24"/>
              <w:szCs w:val="24"/>
            </w:rPr>
            <w:t xml:space="preserve"> (esta explicação está apresentada no item 4.5 do projeto)</w:t>
          </w:r>
          <w:r w:rsidRPr="00851AA6">
            <w:rPr>
              <w:rFonts w:eastAsia="Calibri" w:cstheme="minorHAnsi"/>
              <w:sz w:val="24"/>
              <w:szCs w:val="24"/>
            </w:rPr>
            <w:t xml:space="preserve">. O programa </w:t>
          </w:r>
          <w:proofErr w:type="spellStart"/>
          <w:r w:rsidRPr="00851AA6">
            <w:rPr>
              <w:rFonts w:eastAsia="Calibri" w:cstheme="minorHAnsi"/>
              <w:sz w:val="24"/>
              <w:szCs w:val="24"/>
            </w:rPr>
            <w:t>NexT</w:t>
          </w:r>
          <w:proofErr w:type="spellEnd"/>
          <w:r w:rsidRPr="00851AA6">
            <w:rPr>
              <w:rFonts w:eastAsia="Calibri" w:cstheme="minorHAnsi"/>
              <w:sz w:val="24"/>
              <w:szCs w:val="24"/>
            </w:rPr>
            <w:t xml:space="preserve"> necessita de equipamentos de informática como tablets, </w:t>
          </w:r>
          <w:r w:rsidR="00322DB1">
            <w:rPr>
              <w:rFonts w:eastAsia="Calibri" w:cstheme="minorHAnsi"/>
              <w:sz w:val="24"/>
              <w:szCs w:val="24"/>
            </w:rPr>
            <w:t xml:space="preserve">máquinas desktop, </w:t>
          </w:r>
          <w:r w:rsidRPr="00851AA6">
            <w:rPr>
              <w:rFonts w:eastAsia="Calibri" w:cstheme="minorHAnsi"/>
              <w:sz w:val="24"/>
              <w:szCs w:val="24"/>
            </w:rPr>
            <w:t>notebooks e projetores para a execução de suas atividades (</w:t>
          </w:r>
          <w:r w:rsidR="00322DB1">
            <w:rPr>
              <w:rFonts w:eastAsia="Calibri" w:cstheme="minorHAnsi"/>
              <w:sz w:val="24"/>
              <w:szCs w:val="24"/>
            </w:rPr>
            <w:t xml:space="preserve">incluindo </w:t>
          </w:r>
          <w:r w:rsidRPr="00851AA6">
            <w:rPr>
              <w:rFonts w:eastAsia="Calibri" w:cstheme="minorHAnsi"/>
              <w:sz w:val="24"/>
              <w:szCs w:val="24"/>
            </w:rPr>
            <w:t>cursos,</w:t>
          </w:r>
          <w:r w:rsidR="00322DB1">
            <w:rPr>
              <w:rFonts w:eastAsia="Calibri" w:cstheme="minorHAnsi"/>
              <w:sz w:val="24"/>
              <w:szCs w:val="24"/>
            </w:rPr>
            <w:t xml:space="preserve"> treinamentos, estudos, pesquisas,</w:t>
          </w:r>
          <w:r w:rsidRPr="00851AA6">
            <w:rPr>
              <w:rFonts w:eastAsia="Calibri" w:cstheme="minorHAnsi"/>
              <w:sz w:val="24"/>
              <w:szCs w:val="24"/>
            </w:rPr>
            <w:t xml:space="preserve"> eventos e torneios). Esses equipamentos serão utilizados em sala de aula</w:t>
          </w:r>
          <w:r>
            <w:rPr>
              <w:rFonts w:eastAsia="Calibri" w:cstheme="minorHAnsi"/>
              <w:sz w:val="24"/>
              <w:szCs w:val="24"/>
            </w:rPr>
            <w:t xml:space="preserve">, nos laboratórios de estudo e pesquisa e de prática e treinamento, bem como </w:t>
          </w:r>
          <w:r w:rsidRPr="00851AA6">
            <w:rPr>
              <w:rFonts w:eastAsia="Calibri" w:cstheme="minorHAnsi"/>
              <w:sz w:val="24"/>
              <w:szCs w:val="24"/>
            </w:rPr>
            <w:t>nos eventos e torneios, para projeção e para análise de pa</w:t>
          </w:r>
          <w:r w:rsidR="00A23CBB">
            <w:rPr>
              <w:rFonts w:eastAsia="Calibri" w:cstheme="minorHAnsi"/>
              <w:sz w:val="24"/>
              <w:szCs w:val="24"/>
            </w:rPr>
            <w:t>rtidas e posições enxadrísticas (vide explicação apresentada na observação do item 4.6 do projeto).</w:t>
          </w:r>
        </w:p>
        <w:p w14:paraId="0D54867F" w14:textId="364E372C" w:rsidR="000B5A74" w:rsidRDefault="000B5A74" w:rsidP="007D5B15">
          <w:pPr>
            <w:jc w:val="both"/>
            <w:rPr>
              <w:rFonts w:eastAsia="Calibri" w:cstheme="minorHAnsi"/>
              <w:sz w:val="24"/>
              <w:szCs w:val="24"/>
            </w:rPr>
          </w:pPr>
        </w:p>
        <w:p w14:paraId="71A75E0F" w14:textId="11A4F3C2" w:rsidR="000B5A74" w:rsidRPr="00851AA6" w:rsidRDefault="000B5A74" w:rsidP="007D5B15">
          <w:pPr>
            <w:jc w:val="both"/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>Sobre a Questão 10: “</w:t>
          </w:r>
          <w:r w:rsidRPr="000B5A74">
            <w:rPr>
              <w:rFonts w:eastAsia="Calibri" w:cstheme="minorHAnsi"/>
              <w:sz w:val="24"/>
              <w:szCs w:val="24"/>
            </w:rPr>
            <w:t>Considerações do avaliador sobre a ação de extensão propost</w:t>
          </w:r>
          <w:r>
            <w:rPr>
              <w:rFonts w:eastAsia="Calibri" w:cstheme="minorHAnsi"/>
              <w:sz w:val="24"/>
              <w:szCs w:val="24"/>
            </w:rPr>
            <w:t>a”, cabe destacar que o avaliador indicou que “</w:t>
          </w:r>
          <w:r w:rsidRPr="000B5A74">
            <w:rPr>
              <w:rFonts w:eastAsia="Calibri" w:cstheme="minorHAnsi"/>
              <w:sz w:val="24"/>
              <w:szCs w:val="24"/>
            </w:rPr>
            <w:t xml:space="preserve">a proposta é bastante interessante, mas em alguns pontos a participação discente se mostra diminuída, como o fato de </w:t>
          </w:r>
          <w:proofErr w:type="spellStart"/>
          <w:r w:rsidRPr="000B5A74">
            <w:rPr>
              <w:rFonts w:eastAsia="Calibri" w:cstheme="minorHAnsi"/>
              <w:sz w:val="24"/>
              <w:szCs w:val="24"/>
            </w:rPr>
            <w:t>nao</w:t>
          </w:r>
          <w:proofErr w:type="spellEnd"/>
          <w:r w:rsidRPr="000B5A74">
            <w:rPr>
              <w:rFonts w:eastAsia="Calibri" w:cstheme="minorHAnsi"/>
              <w:sz w:val="24"/>
              <w:szCs w:val="24"/>
            </w:rPr>
            <w:t xml:space="preserve"> haver bolsas para os discentes envolvidos.</w:t>
          </w:r>
          <w:r>
            <w:rPr>
              <w:rFonts w:eastAsia="Calibri" w:cstheme="minorHAnsi"/>
              <w:sz w:val="24"/>
              <w:szCs w:val="24"/>
            </w:rPr>
            <w:t>” Tal afirmação é muito estranha, po</w:t>
          </w:r>
          <w:bookmarkStart w:id="0" w:name="_GoBack"/>
          <w:bookmarkEnd w:id="0"/>
          <w:r>
            <w:rPr>
              <w:rFonts w:eastAsia="Calibri" w:cstheme="minorHAnsi"/>
              <w:sz w:val="24"/>
              <w:szCs w:val="24"/>
            </w:rPr>
            <w:t xml:space="preserve">is, o </w:t>
          </w:r>
          <w:proofErr w:type="spellStart"/>
          <w:r>
            <w:rPr>
              <w:rFonts w:eastAsia="Calibri" w:cstheme="minorHAnsi"/>
              <w:sz w:val="24"/>
              <w:szCs w:val="24"/>
            </w:rPr>
            <w:t>NexT</w:t>
          </w:r>
          <w:proofErr w:type="spellEnd"/>
          <w:r>
            <w:rPr>
              <w:rFonts w:eastAsia="Calibri" w:cstheme="minorHAnsi"/>
              <w:sz w:val="24"/>
              <w:szCs w:val="24"/>
            </w:rPr>
            <w:t xml:space="preserve"> conta com</w:t>
          </w:r>
          <w:r w:rsidR="0019344B">
            <w:rPr>
              <w:rFonts w:eastAsia="Calibri" w:cstheme="minorHAnsi"/>
              <w:sz w:val="24"/>
              <w:szCs w:val="24"/>
            </w:rPr>
            <w:t xml:space="preserve"> discentes</w:t>
          </w:r>
          <w:r>
            <w:rPr>
              <w:rFonts w:eastAsia="Calibri" w:cstheme="minorHAnsi"/>
              <w:sz w:val="24"/>
              <w:szCs w:val="24"/>
            </w:rPr>
            <w:t xml:space="preserve"> bolsistas e voluntários em todos os seus já mais de oito anos de existência e a indicação dos bolsistas atuais está no texto do projeto, bem como a indicação da intenção de se contratar quatro bolsistas 20h em 2020, que podem ser, ou não, os nomes que já atuaram em 2019.</w:t>
          </w:r>
        </w:p>
        <w:p w14:paraId="2CE31AD8" w14:textId="77777777" w:rsidR="00851AA6" w:rsidRPr="00851AA6" w:rsidRDefault="00851AA6" w:rsidP="007D5B15">
          <w:pPr>
            <w:jc w:val="both"/>
            <w:rPr>
              <w:rFonts w:eastAsia="Calibri" w:cstheme="minorHAnsi"/>
              <w:sz w:val="24"/>
              <w:szCs w:val="24"/>
            </w:rPr>
          </w:pPr>
        </w:p>
        <w:p w14:paraId="7CE2B523" w14:textId="25BA358D" w:rsidR="007C44C8" w:rsidRPr="00276C89" w:rsidRDefault="00851AA6" w:rsidP="007D5B15">
          <w:pPr>
            <w:jc w:val="both"/>
            <w:rPr>
              <w:rFonts w:eastAsia="Calibri" w:cstheme="minorHAnsi"/>
              <w:sz w:val="24"/>
              <w:szCs w:val="24"/>
            </w:rPr>
          </w:pPr>
          <w:r w:rsidRPr="00851AA6">
            <w:rPr>
              <w:rFonts w:eastAsia="Calibri" w:cstheme="minorHAnsi"/>
              <w:sz w:val="24"/>
              <w:szCs w:val="24"/>
            </w:rPr>
            <w:lastRenderedPageBreak/>
            <w:t>Com base na argumentação apresentada, solicitamos pois, mui respeitosamente, que nossa proposta seja reavaliada nos pontos indicados</w:t>
          </w:r>
          <w:r w:rsidR="00322DB1">
            <w:rPr>
              <w:rFonts w:eastAsia="Calibri" w:cstheme="minorHAnsi"/>
              <w:sz w:val="24"/>
              <w:szCs w:val="24"/>
            </w:rPr>
            <w:t>.</w:t>
          </w: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11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12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A31613" w14:textId="77777777" w:rsidR="004C6C8D" w:rsidRDefault="004C6C8D">
      <w:pPr>
        <w:spacing w:after="0" w:line="240" w:lineRule="auto"/>
      </w:pPr>
      <w:r>
        <w:separator/>
      </w:r>
    </w:p>
  </w:endnote>
  <w:endnote w:type="continuationSeparator" w:id="0">
    <w:p w14:paraId="1F3BF984" w14:textId="77777777" w:rsidR="004C6C8D" w:rsidRDefault="004C6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268022" w14:textId="77777777" w:rsidR="004C6C8D" w:rsidRDefault="004C6C8D">
      <w:pPr>
        <w:spacing w:after="0" w:line="240" w:lineRule="auto"/>
      </w:pPr>
      <w:r>
        <w:separator/>
      </w:r>
    </w:p>
  </w:footnote>
  <w:footnote w:type="continuationSeparator" w:id="0">
    <w:p w14:paraId="428D0479" w14:textId="77777777" w:rsidR="004C6C8D" w:rsidRDefault="004C6C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4C6C8D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B2E12"/>
    <w:rsid w:val="000B5A74"/>
    <w:rsid w:val="000D68E8"/>
    <w:rsid w:val="0019344B"/>
    <w:rsid w:val="001A67F0"/>
    <w:rsid w:val="001B6FDA"/>
    <w:rsid w:val="00276C89"/>
    <w:rsid w:val="002A4CD2"/>
    <w:rsid w:val="002B571D"/>
    <w:rsid w:val="003141CD"/>
    <w:rsid w:val="00322DB1"/>
    <w:rsid w:val="00370736"/>
    <w:rsid w:val="00376235"/>
    <w:rsid w:val="003B6940"/>
    <w:rsid w:val="003B72D4"/>
    <w:rsid w:val="003F6988"/>
    <w:rsid w:val="00493FA9"/>
    <w:rsid w:val="004A3D85"/>
    <w:rsid w:val="004C6C8D"/>
    <w:rsid w:val="004D6CC7"/>
    <w:rsid w:val="00506594"/>
    <w:rsid w:val="00512C4D"/>
    <w:rsid w:val="0056359C"/>
    <w:rsid w:val="005F3436"/>
    <w:rsid w:val="005F6BE8"/>
    <w:rsid w:val="00695A51"/>
    <w:rsid w:val="006B594C"/>
    <w:rsid w:val="006D6235"/>
    <w:rsid w:val="00726B97"/>
    <w:rsid w:val="007C44C8"/>
    <w:rsid w:val="007D55F7"/>
    <w:rsid w:val="007D5B15"/>
    <w:rsid w:val="00851AA6"/>
    <w:rsid w:val="00891DA7"/>
    <w:rsid w:val="00A23CBB"/>
    <w:rsid w:val="00B110DA"/>
    <w:rsid w:val="00B61B47"/>
    <w:rsid w:val="00B84360"/>
    <w:rsid w:val="00C65935"/>
    <w:rsid w:val="00CA0EBD"/>
    <w:rsid w:val="00CB6302"/>
    <w:rsid w:val="00D1513B"/>
    <w:rsid w:val="00D570C5"/>
    <w:rsid w:val="00D96FE2"/>
    <w:rsid w:val="00DC7419"/>
    <w:rsid w:val="00DD3948"/>
    <w:rsid w:val="00E04D28"/>
    <w:rsid w:val="00E83F9A"/>
    <w:rsid w:val="00E86841"/>
    <w:rsid w:val="00EB14E1"/>
    <w:rsid w:val="00EE0A2D"/>
    <w:rsid w:val="00F17496"/>
    <w:rsid w:val="00F23D1D"/>
    <w:rsid w:val="00F277D1"/>
    <w:rsid w:val="00F468AE"/>
    <w:rsid w:val="00F53FEF"/>
    <w:rsid w:val="00FA1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762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extxadrez.blogspot.com/2019/10/inicio-espaco-next-nxj-04102019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nextxadrez.blogspot.com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1.udesc.br/?idFormulario=624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facebook.com/nextxadre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extxadrez.blogspot.com/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865B0"/>
    <w:rsid w:val="000F43CC"/>
    <w:rsid w:val="006C27F3"/>
    <w:rsid w:val="006D400C"/>
    <w:rsid w:val="00772B1D"/>
    <w:rsid w:val="00894B1D"/>
    <w:rsid w:val="008C6AF4"/>
    <w:rsid w:val="00D723E2"/>
    <w:rsid w:val="00DF6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F8E4D1-A00F-47BB-BE1E-2052E8C4B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5</Pages>
  <Words>2104</Words>
  <Characters>11363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KARISTON PEREIRA</cp:lastModifiedBy>
  <cp:revision>20</cp:revision>
  <dcterms:created xsi:type="dcterms:W3CDTF">2019-12-18T01:11:00Z</dcterms:created>
  <dcterms:modified xsi:type="dcterms:W3CDTF">2020-02-06T23:53:00Z</dcterms:modified>
</cp:coreProperties>
</file>