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CD143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F546A">
            <w:rPr>
              <w:rFonts w:eastAsia="Calibri" w:cstheme="minorHAnsi"/>
              <w:sz w:val="24"/>
              <w:szCs w:val="24"/>
            </w:rPr>
            <w:t>Dr. Hans Twitchell</w:t>
          </w:r>
        </w:sdtContent>
      </w:sdt>
    </w:p>
    <w:p w14:paraId="30360E86" w14:textId="737023C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F546A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7C58A9C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F546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76ABA4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F546A">
            <w:rPr>
              <w:rFonts w:eastAsia="Calibri" w:cstheme="minorHAnsi"/>
              <w:sz w:val="24"/>
              <w:szCs w:val="24"/>
            </w:rPr>
            <w:t>Fermento Cultural</w:t>
          </w:r>
        </w:sdtContent>
      </w:sdt>
    </w:p>
    <w:p w14:paraId="48BAE069" w14:textId="689D872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F546A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5CDD3F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546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bookmarkStart w:id="0" w:name="_Hlk31896045" w:displacedByCustomXml="next"/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609632087"/>
            <w:placeholder>
              <w:docPart w:val="F5DFA01346CD43DEA9A0DEC0284E0EC4"/>
            </w:placeholder>
          </w:sdtPr>
          <w:sdtContent>
            <w:p w14:paraId="61D36AF8" w14:textId="1B2206A6" w:rsidR="00857A09" w:rsidRDefault="00857A09" w:rsidP="00857A09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3. </w:t>
              </w:r>
              <w:r w:rsidR="000C1214">
                <w:rPr>
                  <w:rFonts w:eastAsia="Calibri" w:cstheme="minorHAnsi"/>
                  <w:sz w:val="24"/>
                  <w:szCs w:val="24"/>
                </w:rPr>
                <w:t>Impacto na Formação dos Acadêmicos</w:t>
              </w:r>
              <w:r w:rsidR="000C1214">
                <w:rPr>
                  <w:rFonts w:eastAsia="Calibri" w:cstheme="minorHAnsi"/>
                  <w:sz w:val="24"/>
                  <w:szCs w:val="24"/>
                </w:rPr>
                <w:tab/>
              </w:r>
              <w:r w:rsidR="000C1214">
                <w:rPr>
                  <w:rFonts w:eastAsia="Calibri" w:cstheme="minorHAnsi"/>
                  <w:sz w:val="24"/>
                  <w:szCs w:val="24"/>
                </w:rPr>
                <w:tab/>
                <w:t xml:space="preserve">Em seção 2.1 da proposta não pude inserir nominalmente os membros discentes </w:t>
              </w:r>
              <w:r w:rsidR="008C6101">
                <w:rPr>
                  <w:rFonts w:eastAsia="Calibri" w:cstheme="minorHAnsi"/>
                  <w:sz w:val="24"/>
                  <w:szCs w:val="24"/>
                </w:rPr>
                <w:t>da equipe</w:t>
              </w:r>
              <w:r w:rsidR="000C1214">
                <w:rPr>
                  <w:rFonts w:eastAsia="Calibri" w:cstheme="minorHAnsi"/>
                  <w:sz w:val="24"/>
                  <w:szCs w:val="24"/>
                </w:rPr>
                <w:t xml:space="preserve"> 2020-2021 por eles não serem definidos ainda; os integrantes do quarteto</w:t>
              </w:r>
              <w:r w:rsidR="00F77386">
                <w:rPr>
                  <w:rFonts w:eastAsia="Calibri" w:cstheme="minorHAnsi"/>
                  <w:sz w:val="24"/>
                  <w:szCs w:val="24"/>
                </w:rPr>
                <w:t xml:space="preserve"> (4), tanto quanto os bolsistas do programa,</w:t>
              </w:r>
              <w:r w:rsidR="000C1214">
                <w:rPr>
                  <w:rFonts w:eastAsia="Calibri" w:cstheme="minorHAnsi"/>
                  <w:sz w:val="24"/>
                  <w:szCs w:val="24"/>
                </w:rPr>
                <w:t xml:space="preserve"> são acadêmicos</w:t>
              </w:r>
              <w:r w:rsidR="00F77386">
                <w:rPr>
                  <w:rFonts w:eastAsia="Calibri" w:cstheme="minorHAnsi"/>
                  <w:sz w:val="24"/>
                  <w:szCs w:val="24"/>
                </w:rPr>
                <w:t>. Todas as atividades do projeto Quarteto, tanto ensaios quanto apresentações didáticas e concertos de salão, são levadas a cabo pelos acadêmicos. Além disso, sete dos trinta e três eventos mencionados em 1.6.4 foram ocasiões em que a comunidade externa respondeu ao convite para vir ao campus e p</w:t>
              </w:r>
              <w:r w:rsidR="008C6101">
                <w:rPr>
                  <w:rFonts w:eastAsia="Calibri" w:cstheme="minorHAnsi"/>
                  <w:sz w:val="24"/>
                  <w:szCs w:val="24"/>
                </w:rPr>
                <w:t>articipar junto aos acadêmicos em apresentações culturais que tiveram impacto na formação dos últimos tanto quanto na experiência dos primeiros.</w:t>
              </w:r>
            </w:p>
            <w:p w14:paraId="4EB53902" w14:textId="77777777" w:rsidR="00C31AA9" w:rsidRDefault="00857A09" w:rsidP="00857A09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4. Mérito</w:t>
              </w:r>
              <w:r>
                <w:rPr>
                  <w:rFonts w:eastAsia="Calibri" w:cstheme="minorHAnsi"/>
                  <w:sz w:val="24"/>
                  <w:szCs w:val="24"/>
                </w:rPr>
                <w:tab/>
                <w:t xml:space="preserve">Os critérios articulados na avaliação são: Impacto Social, Contribuição com Políticas Públicas para Desenvolvimento, e Atendimento à Comunidade. O relator não reconheceu a abrangência do atendimento à comunidade explícita na seção 1.2 da proposta onde consta uma lista comprida e incompleta das escolas fundamentais e superiores, asilos, centros comunitários, igrejas e teatros locais, interestaduais e internacionais onde o programa atende a um público diversa e grande (entre 2 e 3 mil pessoas sem estimar os ouvintes da transmissão ao vivo no Rádio MEC). O impacto social deste atendimento é cultural; sua abrangência é indicada na seção 1.3 da proposta. Quanto à contribuição com políticas públicas, Fermento Cultural não atua diretamente como organização de </w:t>
              </w:r>
              <w:r>
                <w:rPr>
                  <w:rFonts w:eastAsia="Calibri" w:cstheme="minorHAnsi"/>
                  <w:i/>
                  <w:iCs/>
                  <w:sz w:val="24"/>
                  <w:szCs w:val="24"/>
                </w:rPr>
                <w:t xml:space="preserve">lobby. </w:t>
              </w:r>
              <w:r>
                <w:rPr>
                  <w:rFonts w:eastAsia="Calibri" w:cstheme="minorHAnsi"/>
                  <w:sz w:val="24"/>
                  <w:szCs w:val="24"/>
                </w:rPr>
                <w:t>Antes, fomenta reconhecimento e demanda entre o público, por uma democratização de oportunidade e pelo apoio público das artes. Como indicado na seção 1.4 da proposta, Fermento Cultural também coopera com organizações governamentais no cumprimento de suas políticas atuais (veja a carta de parceria da municipalidade de São Bento do Sul, anexo à proposta).</w:t>
              </w:r>
            </w:p>
            <w:p w14:paraId="1958EB01" w14:textId="77777777" w:rsidR="00C31AA9" w:rsidRDefault="00C31AA9" w:rsidP="00C31AA9">
              <w:r>
                <w:rPr>
                  <w:rFonts w:eastAsia="Calibri" w:cstheme="minorHAnsi"/>
                  <w:sz w:val="24"/>
                  <w:szCs w:val="24"/>
                </w:rPr>
                <w:t>6. Envolvimento Intersetorial</w:t>
              </w:r>
              <w:r>
                <w:rPr>
                  <w:rFonts w:eastAsia="Calibri" w:cstheme="minorHAnsi"/>
                  <w:sz w:val="24"/>
                  <w:szCs w:val="24"/>
                </w:rPr>
                <w:tab/>
              </w:r>
              <w:r>
                <w:rPr>
                  <w:rFonts w:eastAsia="Calibri" w:cstheme="minorHAnsi"/>
                  <w:sz w:val="24"/>
                  <w:szCs w:val="24"/>
                </w:rPr>
                <w:tab/>
                <w:t xml:space="preserve">Seção 1.6.4 da proposta contém uma lista dos </w:t>
              </w:r>
              <w:r>
                <w:t>Setores da UDESC envolvidos no programa: “Na UDESC, o programa Fermento Cultural produz eventos culturais intercentros. O Quarteto UDESC já participou em seminários e solenidades no FAED, CEO, CEFID, CEAVI, CCT, CERES e CEPLA. Conta com o apoio de uma equipe de bolsistas e técnicos na Pró-reitoria de Extensão, Cultura e Comunidade.” Além disso, trabalha estreitamente com os núcleos de Comunicação e Produção, bem como o técnico de iluminação do departamento de Teatro.</w:t>
              </w:r>
            </w:p>
            <w:p w14:paraId="538920F6" w14:textId="77777777" w:rsidR="0036664A" w:rsidRDefault="00C31AA9" w:rsidP="00857A09">
              <w:bookmarkStart w:id="1" w:name="_Hlk31896198"/>
              <w:r>
                <w:rPr>
                  <w:rFonts w:eastAsia="Calibri" w:cstheme="minorHAnsi"/>
                  <w:sz w:val="24"/>
                  <w:szCs w:val="24"/>
                </w:rPr>
                <w:lastRenderedPageBreak/>
                <w:t>7. Interação Ensino e Pesquisa</w:t>
              </w:r>
              <w:r>
                <w:rPr>
                  <w:rFonts w:eastAsia="Calibri" w:cstheme="minorHAnsi"/>
                  <w:sz w:val="24"/>
                  <w:szCs w:val="24"/>
                </w:rPr>
                <w:tab/>
              </w:r>
              <w:r w:rsidR="00732710">
                <w:rPr>
                  <w:rFonts w:eastAsia="Calibri" w:cstheme="minorHAnsi"/>
                  <w:sz w:val="24"/>
                  <w:szCs w:val="24"/>
                </w:rPr>
                <w:t xml:space="preserve">A nota do revisor reconhece a interação do programa com o ensino OU a pesquisa, e não ambos. Fermento Cultural é um complemento substancial e direto a todas as disciplinas práticas do Departamento de Música, bem como às disciplinas de História da Música e de Repertório, onde algumas de suas atividades locais </w:t>
              </w:r>
              <w:r w:rsidR="00AD09DB">
                <w:rPr>
                  <w:rFonts w:eastAsia="Calibri" w:cstheme="minorHAnsi"/>
                  <w:sz w:val="24"/>
                  <w:szCs w:val="24"/>
                </w:rPr>
                <w:t xml:space="preserve">já </w:t>
              </w:r>
              <w:r w:rsidR="00732710">
                <w:rPr>
                  <w:rFonts w:eastAsia="Calibri" w:cstheme="minorHAnsi"/>
                  <w:sz w:val="24"/>
                  <w:szCs w:val="24"/>
                </w:rPr>
                <w:t xml:space="preserve">são curricularizadas. </w:t>
              </w:r>
              <w:r w:rsidR="00AD09DB">
                <w:rPr>
                  <w:rFonts w:eastAsia="Calibri" w:cstheme="minorHAnsi"/>
                  <w:sz w:val="24"/>
                  <w:szCs w:val="24"/>
                </w:rPr>
                <w:t xml:space="preserve">Seção 1.6.5 destaca a relação criativa que o projeto Música Viva tem mais especificamente com o projeto de pesquisa </w:t>
              </w:r>
              <w:r w:rsidR="00AD09DB" w:rsidRPr="00AD09DB">
                <w:rPr>
                  <w:rFonts w:eastAsia="Calibri" w:cstheme="minorHAnsi"/>
                  <w:i/>
                  <w:iCs/>
                  <w:sz w:val="24"/>
                  <w:szCs w:val="24"/>
                </w:rPr>
                <w:t>C</w:t>
              </w:r>
              <w:r w:rsidR="00AD09DB" w:rsidRPr="00AD09DB">
                <w:rPr>
                  <w:i/>
                  <w:iCs/>
                </w:rPr>
                <w:t xml:space="preserve">onteúdos </w:t>
              </w:r>
              <w:r w:rsidR="00AD09DB" w:rsidRPr="00AD09DB">
                <w:rPr>
                  <w:i/>
                  <w:iCs/>
                </w:rPr>
                <w:t>A</w:t>
              </w:r>
              <w:r w:rsidR="00AD09DB" w:rsidRPr="00AD09DB">
                <w:rPr>
                  <w:i/>
                  <w:iCs/>
                </w:rPr>
                <w:t xml:space="preserve">ntigos e </w:t>
              </w:r>
              <w:r w:rsidR="00AD09DB" w:rsidRPr="00AD09DB">
                <w:rPr>
                  <w:i/>
                  <w:iCs/>
                </w:rPr>
                <w:t>N</w:t>
              </w:r>
              <w:r w:rsidR="00AD09DB" w:rsidRPr="00AD09DB">
                <w:rPr>
                  <w:i/>
                  <w:iCs/>
                </w:rPr>
                <w:t xml:space="preserve">ão-europeus na </w:t>
              </w:r>
              <w:r w:rsidR="00AD09DB" w:rsidRPr="00AD09DB">
                <w:rPr>
                  <w:i/>
                  <w:iCs/>
                </w:rPr>
                <w:t>C</w:t>
              </w:r>
              <w:r w:rsidR="00AD09DB" w:rsidRPr="00AD09DB">
                <w:rPr>
                  <w:i/>
                  <w:iCs/>
                </w:rPr>
                <w:t xml:space="preserve">omposição </w:t>
              </w:r>
              <w:r w:rsidR="00AD09DB" w:rsidRPr="00AD09DB">
                <w:rPr>
                  <w:i/>
                  <w:iCs/>
                </w:rPr>
                <w:t>M</w:t>
              </w:r>
              <w:r w:rsidR="00AD09DB" w:rsidRPr="00AD09DB">
                <w:rPr>
                  <w:i/>
                  <w:iCs/>
                </w:rPr>
                <w:t xml:space="preserve">usical dos </w:t>
              </w:r>
              <w:r w:rsidR="00AD09DB" w:rsidRPr="00AD09DB">
                <w:rPr>
                  <w:i/>
                  <w:iCs/>
                </w:rPr>
                <w:t>S</w:t>
              </w:r>
              <w:r w:rsidR="00AD09DB" w:rsidRPr="00AD09DB">
                <w:rPr>
                  <w:i/>
                  <w:iCs/>
                </w:rPr>
                <w:t>éculos XX e XXI</w:t>
              </w:r>
              <w:r w:rsidR="00AD09DB">
                <w:rPr>
                  <w:i/>
                  <w:iCs/>
                </w:rPr>
                <w:t xml:space="preserve"> </w:t>
              </w:r>
              <w:r w:rsidR="00AD09DB">
                <w:t xml:space="preserve">do Professor Luigi Irlandini, que resultou na criação de uma nova obra e sua estreia na Sala </w:t>
              </w:r>
              <w:r w:rsidR="00AD09DB">
                <w:t>Cecília Meireles em Rio de Janeiro</w:t>
              </w:r>
              <w:r w:rsidR="00AD09DB">
                <w:t>.</w:t>
              </w:r>
              <w:r w:rsidR="0036664A">
                <w:t xml:space="preserve"> Essa nota deve ser corrigida de 5 para 10 em vista da interação do programa com o ensino E a pesquisa.</w:t>
              </w:r>
            </w:p>
            <w:p w14:paraId="005747A3" w14:textId="77777777" w:rsidR="005A4EC1" w:rsidRDefault="0036664A" w:rsidP="00857A09">
              <w:r>
                <w:t>8. Coerência</w:t>
              </w:r>
              <w:r>
                <w:tab/>
              </w:r>
              <w:r>
                <w:tab/>
              </w:r>
              <w:r w:rsidR="00B863A9">
                <w:t>Em seção 1.6.2, a Fundamentação Teórica concisamente enfoque as perspectivas de produção, pedagogia e consumo do momento musical de uma apresentação. O objetivo geral é específico e relevante para a extensão universitária; se constrói n</w:t>
              </w:r>
              <w:r w:rsidR="00BC5472">
                <w:t>a</w:t>
              </w:r>
              <w:r w:rsidR="00B863A9">
                <w:t xml:space="preserve"> fundamentação teórica e é estrategicamente desenvolvido nos objetivos específicos</w:t>
              </w:r>
              <w:r w:rsidR="00BC5472">
                <w:t xml:space="preserve">. A metodologia descreve os pontos </w:t>
              </w:r>
              <w:r w:rsidR="005A4EC1">
                <w:t>de atuação que correspondem aos três projetos do programa e as referências bibliográficas são exemplos recentes e pertinentes da produção do programa.</w:t>
              </w:r>
            </w:p>
            <w:p w14:paraId="27F9E3D0" w14:textId="45C048F9" w:rsidR="00857A09" w:rsidRPr="00276C89" w:rsidRDefault="005A4EC1" w:rsidP="00857A09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t>9. Compatibilidade dos Recursos</w:t>
              </w:r>
              <w:r>
                <w:tab/>
              </w:r>
              <w:r w:rsidR="00C73A3D">
                <w:t xml:space="preserve">Atesto que os recursos solicitados são compatíveis com a operação de um programa com grande abrangência geográfica. </w:t>
              </w:r>
              <w:r w:rsidR="00AA2627">
                <w:t>Ressalto que t</w:t>
              </w:r>
              <w:r w:rsidR="00C73A3D">
                <w:t xml:space="preserve">odos os recursos </w:t>
              </w:r>
              <w:r w:rsidR="00AA2627">
                <w:t>são aplicados a despesas incorridas pelas atividades nacionais; as internacionais são pagas por fontes externas. Contamos com mudanças de rubrica para atender às necessidades de locomoção de artistas e acadêmicos, manutenção de instrumentos e aquisição de partituras, etc. Mesmo assim, as atividades contam com a generosidade de muitas pessoas que oferecem seu tempo sem remuneração.</w:t>
              </w:r>
            </w:p>
          </w:sdtContent>
        </w:sdt>
        <w:p w14:paraId="7CE2B523" w14:textId="38A5737C" w:rsidR="007C44C8" w:rsidRPr="00276C89" w:rsidRDefault="00B21DDE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bookmarkEnd w:id="1" w:displacedByCustomXml="prev"/>
    <w:bookmarkEnd w:id="0" w:displacedByCustomXml="prev"/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01D9E6B8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B80286">
        <w:rPr>
          <w:b/>
          <w:sz w:val="20"/>
          <w:szCs w:val="20"/>
        </w:rPr>
        <w:t xml:space="preserve"> 100</w:t>
      </w:r>
      <w:bookmarkStart w:id="2" w:name="_GoBack"/>
      <w:bookmarkEnd w:id="2"/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FD801" w14:textId="77777777" w:rsidR="00B21DDE" w:rsidRDefault="00B21DDE">
      <w:pPr>
        <w:spacing w:after="0" w:line="240" w:lineRule="auto"/>
      </w:pPr>
      <w:r>
        <w:separator/>
      </w:r>
    </w:p>
  </w:endnote>
  <w:endnote w:type="continuationSeparator" w:id="0">
    <w:p w14:paraId="4FDF4000" w14:textId="77777777" w:rsidR="00B21DDE" w:rsidRDefault="00B2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F307C" w14:textId="77777777" w:rsidR="00B21DDE" w:rsidRDefault="00B21DDE">
      <w:pPr>
        <w:spacing w:after="0" w:line="240" w:lineRule="auto"/>
      </w:pPr>
      <w:r>
        <w:separator/>
      </w:r>
    </w:p>
  </w:footnote>
  <w:footnote w:type="continuationSeparator" w:id="0">
    <w:p w14:paraId="2E1E719F" w14:textId="77777777" w:rsidR="00B21DDE" w:rsidRDefault="00B21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21DD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C1214"/>
    <w:rsid w:val="000D68E8"/>
    <w:rsid w:val="001A67F0"/>
    <w:rsid w:val="00276C89"/>
    <w:rsid w:val="002A4CD2"/>
    <w:rsid w:val="0036664A"/>
    <w:rsid w:val="00370736"/>
    <w:rsid w:val="003B72D4"/>
    <w:rsid w:val="00493FA9"/>
    <w:rsid w:val="004A3D85"/>
    <w:rsid w:val="004D6CC7"/>
    <w:rsid w:val="00506594"/>
    <w:rsid w:val="00512C4D"/>
    <w:rsid w:val="005A4EC1"/>
    <w:rsid w:val="005F3436"/>
    <w:rsid w:val="005F6BE8"/>
    <w:rsid w:val="00695A51"/>
    <w:rsid w:val="006B594C"/>
    <w:rsid w:val="00726B97"/>
    <w:rsid w:val="00732710"/>
    <w:rsid w:val="007C44C8"/>
    <w:rsid w:val="00857A09"/>
    <w:rsid w:val="008C6101"/>
    <w:rsid w:val="00AA2627"/>
    <w:rsid w:val="00AD09DB"/>
    <w:rsid w:val="00AF546A"/>
    <w:rsid w:val="00B21DDE"/>
    <w:rsid w:val="00B61B47"/>
    <w:rsid w:val="00B80286"/>
    <w:rsid w:val="00B84360"/>
    <w:rsid w:val="00B863A9"/>
    <w:rsid w:val="00BC5472"/>
    <w:rsid w:val="00C31AA9"/>
    <w:rsid w:val="00C73A3D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7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F5DFA01346CD43DEA9A0DEC0284E0E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92414B-9F69-43D4-B449-83ED49D49937}"/>
      </w:docPartPr>
      <w:docPartBody>
        <w:p w:rsidR="00000000" w:rsidRDefault="00ED5F1D" w:rsidP="00ED5F1D">
          <w:pPr>
            <w:pStyle w:val="F5DFA01346CD43DEA9A0DEC0284E0EC4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A61F0F"/>
    <w:rsid w:val="00ED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D5F1D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F5DFA01346CD43DEA9A0DEC0284E0EC4">
    <w:name w:val="F5DFA01346CD43DEA9A0DEC0284E0EC4"/>
    <w:rsid w:val="00ED5F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773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Hans</cp:lastModifiedBy>
  <cp:revision>3</cp:revision>
  <dcterms:created xsi:type="dcterms:W3CDTF">2020-02-06T17:07:00Z</dcterms:created>
  <dcterms:modified xsi:type="dcterms:W3CDTF">2020-02-06T18:44:00Z</dcterms:modified>
</cp:coreProperties>
</file>