
<file path=[Content_Types].xml><?xml version="1.0" encoding="utf-8"?>
<Types xmlns="http://schemas.openxmlformats.org/package/2006/content-types">
  <Override PartName="/_rels/.rels" ContentType="application/vnd.openxmlformats-package.relationships+xml"/>
  <Override PartName="/word/glossary/fontTable.xml" ContentType="application/vnd.openxmlformats-officedocument.wordprocessingml.fontTable+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_rels/document.xml.rels" ContentType="application/vnd.openxmlformats-package.relationships+xml"/>
  <Override PartName="/word/glossary/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jc w:val="center"/>
        <w:rPr>
          <w:rFonts w:cs="Calibri" w:cstheme="minorHAnsi"/>
          <w:b/>
          <w:b/>
          <w:sz w:val="24"/>
          <w:szCs w:val="24"/>
        </w:rPr>
      </w:pPr>
      <w:r>
        <w:rPr>
          <w:rFonts w:cs="Calibri" w:cstheme="minorHAnsi"/>
          <w:b/>
          <w:sz w:val="24"/>
          <w:szCs w:val="24"/>
        </w:rPr>
        <w:t>RECURSO RESULTADO PRELIMINAR - EDITAL PAEX-PROCEU Nº 001/2019</w:t>
      </w:r>
    </w:p>
    <w:p>
      <w:pPr>
        <w:pStyle w:val="Normal"/>
        <w:spacing w:lineRule="auto" w:line="240" w:before="0" w:after="0"/>
        <w:rPr>
          <w:rFonts w:eastAsia="Calibri" w:cs="Calibri" w:cstheme="minorHAnsi"/>
          <w:sz w:val="24"/>
          <w:szCs w:val="24"/>
        </w:rPr>
      </w:pPr>
      <w:r>
        <w:rPr>
          <w:rFonts w:eastAsia="Calibri" w:cs="Calibri" w:cstheme="minorHAnsi"/>
          <w:sz w:val="24"/>
          <w:szCs w:val="24"/>
        </w:rPr>
      </w:r>
    </w:p>
    <w:p>
      <w:pPr>
        <w:pStyle w:val="Normal"/>
        <w:spacing w:lineRule="auto" w:line="240" w:before="0" w:after="0"/>
        <w:rPr>
          <w:rFonts w:eastAsia="Calibri" w:cs="Calibri" w:cstheme="minorHAnsi"/>
          <w:sz w:val="24"/>
          <w:szCs w:val="24"/>
        </w:rPr>
      </w:pPr>
      <w:r>
        <w:rPr>
          <w:rFonts w:eastAsia="Calibri" w:cs="Calibri" w:cstheme="minorHAnsi"/>
          <w:sz w:val="24"/>
          <w:szCs w:val="24"/>
        </w:rPr>
      </w:r>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Proponente: </w:t>
      </w:r>
      <w:r>
        <w:rPr>
          <w:rFonts w:eastAsia="Calibri" w:cs="Calibri" w:cstheme="minorHAnsi"/>
          <w:color w:val="808080"/>
        </w:rPr>
        <w:t>Clique aqui para digitar texto.</w:t>
      </w:r>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Unidade de Ensino: </w:t>
      </w:r>
      <w:r>
        <w:rPr/>
      </w:r>
      <w:sdt>
        <w:sdtPr>
          <w:dropDownList>
            <w:listItem w:displayText="Escolher um 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Content>
          <w:r>
            <w:t>CEAD</w:t>
          </w:r>
        </w:sdtContent>
      </w:sdt>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Modalidade: </w:t>
      </w:r>
      <w:r>
        <w:rPr/>
      </w:r>
      <w:sdt>
        <w:sdtPr>
          <w:dropDownList>
            <w:listItem w:displayText="Escolher um item." w:value="Escolher um item."/>
            <w:listItem w:displayText="Programa" w:value="Programa"/>
            <w:listItem w:displayText="Ação Isolada" w:value="Ação Isolada"/>
          </w:dropDownList>
        </w:sdtPr>
        <w:sdtContent>
          <w:r>
            <w:t>Programa</w:t>
          </w:r>
        </w:sdtContent>
      </w:sdt>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Título da Ação: </w:t>
      </w:r>
      <w:sdt>
        <w:sdtPr>
          <w:id w:val="476692401"/>
        </w:sdtPr>
        <w:sdtContent>
          <w:r>
            <w:rPr>
              <w:rFonts w:eastAsia="Calibri" w:cs="Calibri" w:cstheme="minorHAnsi"/>
              <w:color w:val="808080"/>
            </w:rPr>
            <w:t>Clique aqui para digitar texto.</w:t>
          </w:r>
        </w:sdtContent>
      </w:sdt>
    </w:p>
    <w:p>
      <w:pPr>
        <w:pStyle w:val="Normal"/>
        <w:spacing w:lineRule="auto" w:line="240" w:before="0" w:after="0"/>
        <w:rPr>
          <w:rFonts w:eastAsia="Calibri" w:cs="Calibri" w:cstheme="minorHAnsi"/>
          <w:sz w:val="24"/>
          <w:szCs w:val="24"/>
        </w:rPr>
      </w:pPr>
      <w:r>
        <w:rPr>
          <w:rFonts w:eastAsia="Calibri" w:cs="Calibri" w:cstheme="minorHAnsi"/>
          <w:sz w:val="24"/>
          <w:szCs w:val="24"/>
        </w:rPr>
        <w:t xml:space="preserve">Indicar revisor </w:t>
      </w:r>
      <w:r>
        <w:rPr>
          <w:rFonts w:eastAsia="Calibri" w:cs="Calibri" w:cstheme="minorHAnsi"/>
          <w:sz w:val="20"/>
          <w:szCs w:val="20"/>
        </w:rPr>
        <w:t>(01, 02 e/ou 03)</w:t>
      </w:r>
      <w:r>
        <w:rPr>
          <w:rFonts w:eastAsia="Calibri" w:cs="Calibri" w:cstheme="minorHAnsi"/>
          <w:sz w:val="24"/>
          <w:szCs w:val="24"/>
        </w:rPr>
        <w:t>*:</w:t>
      </w:r>
      <w:r>
        <w:rPr/>
      </w:r>
      <w:sdt>
        <w:sdtPr>
          <w:dropDownList>
            <w:listItem w:displayText="Escolher um item." w:value="Escolher um item."/>
            <w:listItem w:displayText="Revisor 01" w:value="Revisor 01"/>
            <w:listItem w:displayText="Revisor 02" w:value="Revisor 02"/>
            <w:listItem w:displayText="Revisor 03" w:value="Revisor 03"/>
          </w:dropDownList>
        </w:sdtPr>
        <w:sdtContent>
          <w:r>
            <w:t>Revisor 02</w:t>
          </w:r>
        </w:sdtContent>
      </w:sdt>
    </w:p>
    <w:p>
      <w:pPr>
        <w:pStyle w:val="Normal"/>
        <w:pBdr>
          <w:bottom w:val="single" w:sz="4" w:space="1" w:color="000000"/>
        </w:pBdr>
        <w:spacing w:lineRule="auto" w:line="240" w:before="0" w:after="0"/>
        <w:jc w:val="both"/>
        <w:rPr>
          <w:rFonts w:eastAsia="Calibri" w:cs="Calibri" w:cstheme="minorHAnsi"/>
          <w:sz w:val="16"/>
          <w:szCs w:val="16"/>
        </w:rPr>
      </w:pPr>
      <w:r>
        <w:rPr>
          <w:rFonts w:eastAsia="Calibri" w:cs="Calibri" w:cstheme="minorHAnsi"/>
          <w:sz w:val="16"/>
          <w:szCs w:val="16"/>
        </w:rPr>
        <w:t xml:space="preserve">*O formulário de recurso é individualizado por revisor (VER O REVISOR NO SIGPROJ). </w:t>
      </w:r>
    </w:p>
    <w:p>
      <w:pPr>
        <w:pStyle w:val="Normal"/>
        <w:pBdr>
          <w:bottom w:val="single" w:sz="4" w:space="1" w:color="000000"/>
        </w:pBdr>
        <w:spacing w:lineRule="auto" w:line="240" w:before="0" w:after="0"/>
        <w:jc w:val="both"/>
        <w:rPr>
          <w:rFonts w:eastAsia="Calibri" w:cs="Calibri" w:cstheme="minorHAnsi"/>
          <w:sz w:val="16"/>
          <w:szCs w:val="16"/>
        </w:rPr>
      </w:pPr>
      <w:r>
        <w:rPr>
          <w:rFonts w:eastAsia="Calibri" w:cs="Calibri" w:cstheme="minorHAnsi"/>
          <w:sz w:val="16"/>
          <w:szCs w:val="16"/>
        </w:rPr>
      </w:r>
    </w:p>
    <w:p>
      <w:pPr>
        <w:pStyle w:val="Normal"/>
        <w:pBdr>
          <w:bottom w:val="single" w:sz="4" w:space="1" w:color="000000"/>
        </w:pBdr>
        <w:spacing w:lineRule="auto" w:line="240" w:before="0" w:after="0"/>
        <w:jc w:val="both"/>
        <w:rPr>
          <w:rFonts w:eastAsia="Calibri" w:cs="Calibri" w:cstheme="minorHAnsi"/>
          <w:sz w:val="16"/>
          <w:szCs w:val="16"/>
        </w:rPr>
      </w:pPr>
      <w:r>
        <w:rPr>
          <w:rFonts w:eastAsia="Calibri" w:cs="Calibri" w:cstheme="minorHAnsi"/>
          <w:sz w:val="16"/>
          <w:szCs w:val="16"/>
        </w:rPr>
      </w:r>
    </w:p>
    <w:p>
      <w:pPr>
        <w:pStyle w:val="Normal"/>
        <w:rPr>
          <w:rFonts w:eastAsia="Calibri" w:cs="Calibri" w:cstheme="minorHAnsi"/>
          <w:sz w:val="24"/>
          <w:szCs w:val="24"/>
        </w:rPr>
      </w:pPr>
      <w:r>
        <w:rPr>
          <w:rFonts w:eastAsia="Calibri" w:cs="Calibri" w:cstheme="minorHAnsi"/>
          <w:sz w:val="24"/>
          <w:szCs w:val="24"/>
        </w:rPr>
        <w:t>ASSINALE A(S) QUESTÃO(ÕES)</w:t>
      </w:r>
      <w:bookmarkStart w:id="0" w:name="_GoBack"/>
      <w:bookmarkEnd w:id="0"/>
      <w:r>
        <w:rPr>
          <w:rFonts w:eastAsia="Calibri" w:cs="Calibri" w:cstheme="minorHAnsi"/>
          <w:sz w:val="24"/>
          <w:szCs w:val="24"/>
        </w:rPr>
        <w:t xml:space="preserve"> PARA EFEITO DE RECURSO:</w:t>
      </w:r>
    </w:p>
    <w:p>
      <w:pPr>
        <w:pStyle w:val="Normal"/>
        <w:pBdr>
          <w:bottom w:val="single" w:sz="4" w:space="1" w:color="000000"/>
        </w:pBdr>
        <w:rPr/>
      </w:pPr>
      <w:r>
        <w:rPr>
          <w:rFonts w:eastAsia="Calibri" w:cs="Calibri" w:cstheme="minorHAnsi"/>
          <w:b/>
          <w:sz w:val="24"/>
          <w:szCs w:val="24"/>
        </w:rPr>
        <w:t xml:space="preserve">1 </w:t>
      </w:r>
      <w:sdt>
        <w:sdtPr>
          <w14:checkbox>
            <w14:checked w:val=""/>
            <w14:checkedState w:val=""/>
            <w14:uncheckedState w:val=""/>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2</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3</w:t>
      </w:r>
      <w:sdt>
        <w:sdtPr>
          <w14:checkbox>
            <w14:checked w:val=""/>
            <w14:checkedState w:val=""/>
            <w14:uncheckedState w:val=""/>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4</w:t>
      </w:r>
      <w:sdt>
        <w:sdtPr>
          <w14:checkbox>
            <w14:checked w:val=""/>
            <w14:checkedState w:val=""/>
            <w14:uncheckedState w:val=""/>
          </w14:checkbox>
        </w:sdtPr>
        <w:sdtContent>
          <w:r>
            <w:rPr>
              <w:rFonts w:eastAsia="MS Gothic" w:cs="Calibri" w:ascii="MS Gothic" w:hAnsi="MS Gothic" w:cstheme="minorHAnsi"/>
              <w:b/>
              <w:sz w:val="24"/>
              <w:szCs w:val="24"/>
            </w:rPr>
            <w:t xml:space="preserve"> </w:t>
          </w:r>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5</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6</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sz w:val="24"/>
              <w:szCs w:val="24"/>
            </w:rPr>
            <w:t>X</w:t>
          </w:r>
        </w:sdtContent>
      </w:sdt>
      <w:r>
        <w:rPr>
          <w:rFonts w:eastAsia="Calibri" w:cs="Calibri" w:cstheme="minorHAnsi"/>
          <w:sz w:val="24"/>
          <w:szCs w:val="24"/>
        </w:rPr>
        <w:t xml:space="preserve">      </w:t>
      </w:r>
      <w:r>
        <w:rPr>
          <w:rFonts w:eastAsia="Calibri" w:cs="Calibri" w:cstheme="minorHAnsi"/>
          <w:b/>
          <w:sz w:val="24"/>
          <w:szCs w:val="24"/>
        </w:rPr>
        <w:t>7</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b/>
          <w:sz w:val="24"/>
          <w:szCs w:val="24"/>
        </w:rPr>
        <w:t xml:space="preserve">    8</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sz w:val="24"/>
              <w:szCs w:val="24"/>
            </w:rPr>
            <w:t>☐</w:t>
          </w:r>
        </w:sdtContent>
      </w:sdt>
      <w:r>
        <w:rPr>
          <w:rFonts w:eastAsia="Calibri" w:cs="Calibri" w:cstheme="minorHAnsi"/>
          <w:sz w:val="24"/>
          <w:szCs w:val="24"/>
        </w:rPr>
        <w:t xml:space="preserve">     </w:t>
      </w:r>
      <w:r>
        <w:rPr>
          <w:rFonts w:eastAsia="Calibri" w:cs="Calibri" w:cstheme="minorHAnsi"/>
          <w:b/>
          <w:sz w:val="24"/>
          <w:szCs w:val="24"/>
        </w:rPr>
        <w:t>9</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sz w:val="24"/>
              <w:szCs w:val="24"/>
            </w:rPr>
            <w:t>☐</w:t>
          </w:r>
        </w:sdtContent>
      </w:sdt>
    </w:p>
    <w:p>
      <w:pPr>
        <w:pStyle w:val="Normal"/>
        <w:rPr>
          <w:rFonts w:eastAsia="Calibri" w:cs="Calibri" w:cstheme="minorHAnsi"/>
          <w:sz w:val="24"/>
          <w:szCs w:val="24"/>
        </w:rPr>
      </w:pPr>
      <w:r>
        <w:rPr>
          <w:rFonts w:eastAsia="Calibri" w:cs="Calibri" w:cstheme="minorHAnsi"/>
          <w:sz w:val="24"/>
          <w:szCs w:val="24"/>
        </w:rPr>
        <w:t>FUNDAMENTAÇÃO DO RECURSO:</w:t>
      </w:r>
    </w:p>
    <w:p>
      <w:pPr>
        <w:pStyle w:val="Normal"/>
        <w:rPr/>
      </w:pPr>
      <w:r>
        <w:rPr>
          <w:rStyle w:val="PlaceholderText"/>
          <w:color w:val="auto"/>
        </w:rPr>
        <w:t xml:space="preserve">4 – O avaliador entende que este item foi atendido parcialmente, ao que discordamos por: </w:t>
      </w:r>
    </w:p>
    <w:p>
      <w:pPr>
        <w:pStyle w:val="Normal"/>
        <w:rPr/>
      </w:pPr>
      <w:r>
        <w:rPr>
          <w:rStyle w:val="PlaceholderText"/>
          <w:color w:val="auto"/>
        </w:rPr>
        <w:t xml:space="preserve">Quanto ao impacto social, informamos na página 07 da proposta que em 2019 a Educomunicação foi incluída no Projeto Político Pedagógico (PPP) da escola onde atuamos desde 2015. Essa inclusão possibilita a ampliação das ações dentro da escola e é mais um passo para que o programa se consolide como referência na rede. O impacto possível pode ser avaliado também ao acessar o link para o canal do programa no youtube fornecido na página 15 da proposta (http://bit.ly/educomyoutube), onde constam os filmes já realizados e as coberturas colaborativas feitas de eventos da rede municipal em 2019, como o encontro municipal de Grêmios Estudantis; </w:t>
      </w:r>
    </w:p>
    <w:p>
      <w:pPr>
        <w:pStyle w:val="Normal"/>
        <w:rPr/>
      </w:pPr>
      <w:r>
        <w:rPr>
          <w:rStyle w:val="PlaceholderText"/>
          <w:color w:val="auto"/>
        </w:rPr>
        <w:t xml:space="preserve">No tocante a contribuição com políticas públicas é relatado à página 05 do projeto uma série de políticas públicas vinculadas à Educomunicação já implementadas e se reforça a perspectiva de contribuição do programa para implantação de novas. Ao final desta mesma página 05, ressaltamos que a Secretaria Municipal de Educação de Florianópolis incluiu em 2019 a Educomunicação como uma linha de atuação dos professores no programa de turno integral. Acreditamos que o trabalho do programa Educom.Cine, desde 2015 na rede, influenciou positivamente na inclusão desta temática na rede, o que indica o avanço no sentido de implantação de uma política pública permanente neste sentido; </w:t>
      </w:r>
    </w:p>
    <w:p>
      <w:pPr>
        <w:pStyle w:val="Normal"/>
        <w:rPr/>
      </w:pPr>
      <w:r>
        <w:rPr>
          <w:rStyle w:val="PlaceholderText"/>
          <w:color w:val="auto"/>
        </w:rPr>
        <w:t xml:space="preserve">O atendimento à comunidade pode se verificar no ítem 1.3 que descreve o público previsto a ser atingido.  A futura autonomia das ações é um processo natural que deve ocorrer quando a comunidade se sentir segura para implementar a Educomunicação. Essa autonomia já foi ampliada em 2019, mas vale salientar, como apontado na página 05 da proposta, que a nova Base Nacional Comum Curricular (BNCC) prevê a interferência de curadores para realizar essas ações de Alfabetização Midiática e Informacional (AMI) na escola. É justamente essa curadoria que nos propomos a fazer, auxiliando a escola a cumprir com a nova norma nacional. </w:t>
      </w:r>
    </w:p>
    <w:p>
      <w:pPr>
        <w:pStyle w:val="Normal"/>
        <w:rPr/>
      </w:pPr>
      <w:r>
        <w:rPr>
          <w:rStyle w:val="PlaceholderText"/>
          <w:color w:val="auto"/>
        </w:rPr>
        <w:t>Pelo exposto solicitamos que a nota deste item seja alterada para 10.</w:t>
      </w:r>
    </w:p>
    <w:p>
      <w:pPr>
        <w:pStyle w:val="Normal"/>
        <w:rPr>
          <w:rStyle w:val="PlaceholderText"/>
          <w:color w:val="auto"/>
        </w:rPr>
      </w:pPr>
      <w:r>
        <w:rPr/>
      </w:r>
    </w:p>
    <w:p>
      <w:pPr>
        <w:pStyle w:val="Normal"/>
        <w:rPr/>
      </w:pPr>
      <w:r>
        <w:rPr>
          <w:rStyle w:val="PlaceholderText"/>
          <w:color w:val="auto"/>
        </w:rPr>
        <w:t xml:space="preserve">6 – Entendemos que neste item não ficou claro no projeto a parceria intercentros, expressa pela participação de dois professores que são do CEART/UDESC, um deles como vice-coordenador do programa, enquanto o programa é do CEAD/UDESC. Esclarecemos que estes dois professores possuem programa de extensão e projeto de ensino sob sua coordenação e que já foram feitos contatos no sentido de integrar essas três propostas em ações em conjunto. Embora tenha faltado explicitar essa relação no projeto, esclarecemos nesta oportunidade que haverá interação entre os centros no sentido de conjugar esforços para a otimização das ações. </w:t>
      </w:r>
    </w:p>
    <w:p>
      <w:pPr>
        <w:pStyle w:val="Normal"/>
        <w:rPr/>
      </w:pPr>
      <w:r>
        <w:rPr>
          <w:rStyle w:val="PlaceholderText"/>
          <w:color w:val="auto"/>
        </w:rPr>
        <w:t>Pelo que se solicita alterar essa nota para 10.</w:t>
      </w:r>
    </w:p>
    <w:p>
      <w:pPr>
        <w:pStyle w:val="Normal"/>
        <w:rPr/>
      </w:pPr>
      <w:r>
        <w:rPr>
          <w:rStyle w:val="PlaceholderText"/>
          <w:color w:val="auto"/>
        </w:rPr>
        <w:t>7 – Neste ítem é citado na página 05 do projeto que a proposta abrangerá o ensino através das atividades didáticas que serão desenvolvidas junto aos discentes e docentes da educação fundamental da escola pública, a comunidade escolar, bem como voluntários locais e alunos da graduação da UDESC. Tanto o vínculo com o ensino quanto a perspectiva de pesquisa do programa são apresentados explicitamente no ítem 1.6.5. Neste ítem, deixamos clara esta relação ao indicar que entendemos que o programa de extensão consiste em uma pesquisa-ação – o que as torna indissociáveis.</w:t>
      </w:r>
    </w:p>
    <w:p>
      <w:pPr>
        <w:pStyle w:val="Normal"/>
        <w:rPr/>
      </w:pPr>
      <w:r>
        <w:rPr>
          <w:rStyle w:val="PlaceholderText"/>
          <w:color w:val="auto"/>
        </w:rPr>
        <w:t>Pelo exposto, requeremos para esta questão a nota 10.</w:t>
      </w:r>
    </w:p>
    <w:p>
      <w:pPr>
        <w:pStyle w:val="Normal"/>
        <w:rPr>
          <w:rFonts w:eastAsia="Calibri" w:cs="Calibri" w:cstheme="minorHAnsi"/>
          <w:sz w:val="24"/>
          <w:szCs w:val="24"/>
        </w:rPr>
      </w:pPr>
      <w:r>
        <w:rPr>
          <w:rFonts w:eastAsia="Calibri" w:cs="Calibri" w:cstheme="minorHAnsi"/>
          <w:sz w:val="24"/>
          <w:szCs w:val="24"/>
        </w:rPr>
      </w:r>
    </w:p>
    <w:p>
      <w:pPr>
        <w:pStyle w:val="Normal"/>
        <w:pBdr>
          <w:bottom w:val="single" w:sz="12" w:space="1" w:color="000000"/>
        </w:pBd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both"/>
        <w:rPr>
          <w:b/>
          <w:b/>
          <w:sz w:val="20"/>
          <w:szCs w:val="20"/>
        </w:rPr>
      </w:pPr>
      <w:r>
        <w:rPr>
          <w:b/>
          <w:sz w:val="20"/>
          <w:szCs w:val="20"/>
        </w:rPr>
        <w:t>NOTA:</w:t>
      </w:r>
    </w:p>
    <w:p>
      <w:pPr>
        <w:pStyle w:val="Normal"/>
        <w:jc w:val="both"/>
        <w:rPr>
          <w:b/>
          <w:b/>
          <w:sz w:val="20"/>
          <w:szCs w:val="20"/>
        </w:rPr>
      </w:pPr>
      <w:r>
        <w:rPr>
          <w:b/>
          <w:sz w:val="20"/>
          <w:szCs w:val="20"/>
        </w:rPr>
        <w:t>PREZADO(A) PROPONENTE,</w:t>
      </w:r>
    </w:p>
    <w:p>
      <w:pPr>
        <w:pStyle w:val="Normal"/>
        <w:jc w:val="both"/>
        <w:rPr/>
      </w:pPr>
      <w:r>
        <w:rPr>
          <w:b/>
          <w:sz w:val="20"/>
          <w:szCs w:val="20"/>
        </w:rPr>
        <w:t xml:space="preserve">APÓS O PREENCHIMENTO, ANEXAR O FORMULÁRIO DE RECURSO EM TELA NO SEGUINTE LINK: </w:t>
      </w:r>
      <w:hyperlink r:id="rId2">
        <w:r>
          <w:rPr>
            <w:rStyle w:val="InternetLink"/>
            <w:b/>
            <w:sz w:val="20"/>
            <w:szCs w:val="20"/>
          </w:rPr>
          <w:t>http://www1.udesc.br/?idFormulario=624</w:t>
        </w:r>
      </w:hyperlink>
    </w:p>
    <w:p>
      <w:pPr>
        <w:pStyle w:val="Normal"/>
        <w:spacing w:before="0" w:after="160"/>
        <w:jc w:val="both"/>
        <w:rPr/>
      </w:pPr>
      <w:r>
        <w:rPr/>
      </w:r>
    </w:p>
    <w:sectPr>
      <w:headerReference w:type="default" r:id="rId3"/>
      <w:type w:val="nextPage"/>
      <w:pgSz w:w="11906" w:h="16838"/>
      <w:pgMar w:left="1134" w:right="1134" w:header="142" w:top="1701"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New Roman">
    <w:charset w:val="01"/>
    <w:family w:val="roman"/>
    <w:pitch w:val="variable"/>
  </w:font>
  <w:font w:name="MS Gothic">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993" w:hanging="0"/>
      <w:jc w:val="both"/>
      <w:rPr/>
    </w:pPr>
    <w:r>
      <w:drawing>
        <wp:anchor behindDoc="1" distT="0" distB="0" distL="114300" distR="114300" simplePos="0" locked="0" layoutInCell="1" allowOverlap="1" relativeHeight="3">
          <wp:simplePos x="0" y="0"/>
          <wp:positionH relativeFrom="column">
            <wp:posOffset>-46355</wp:posOffset>
          </wp:positionH>
          <wp:positionV relativeFrom="paragraph">
            <wp:posOffset>116205</wp:posOffset>
          </wp:positionV>
          <wp:extent cx="1097915" cy="875030"/>
          <wp:effectExtent l="0" t="0" r="0" b="0"/>
          <wp:wrapNone/>
          <wp:docPr id="1" name="Imagem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1" descr=""/>
                  <pic:cNvPicPr>
                    <a:picLocks noChangeAspect="1" noChangeArrowheads="1"/>
                  </pic:cNvPicPr>
                </pic:nvPicPr>
                <pic:blipFill>
                  <a:blip r:embed="rId1"/>
                  <a:stretch>
                    <a:fillRect/>
                  </a:stretch>
                </pic:blipFill>
                <pic:spPr bwMode="auto">
                  <a:xfrm>
                    <a:off x="0" y="0"/>
                    <a:ext cx="1097915" cy="875030"/>
                  </a:xfrm>
                  <a:prstGeom prst="rect">
                    <a:avLst/>
                  </a:prstGeom>
                </pic:spPr>
              </pic:pic>
            </a:graphicData>
          </a:graphic>
        </wp:anchor>
      </w:drawing>
    </w:r>
    <w:r>
      <w:rPr/>
      <w:t xml:space="preserve"> </w:t>
    </w:r>
    <w:r>
      <w:rPr/>
      <w:t xml:space="preserve">             </w:t>
    </w:r>
  </w:p>
  <w:p>
    <w:pPr>
      <w:pStyle w:val="Header"/>
      <w:ind w:left="1701" w:hanging="0"/>
      <w:jc w:val="center"/>
      <w:rPr>
        <w:rFonts w:ascii="Times New Roman" w:hAnsi="Times New Roman"/>
        <w:sz w:val="24"/>
        <w:szCs w:val="24"/>
      </w:rPr>
    </w:pPr>
    <w:r>
      <w:rPr>
        <w:rFonts w:ascii="Times New Roman" w:hAnsi="Times New Roman"/>
        <w:sz w:val="24"/>
        <w:szCs w:val="24"/>
      </w:rPr>
      <w:t>UNIVERSIDADE DO ESTADO DE SANTA CATARINA</w:t>
    </w:r>
  </w:p>
  <w:p>
    <w:pPr>
      <w:pStyle w:val="Header"/>
      <w:ind w:left="1701" w:hanging="0"/>
      <w:jc w:val="center"/>
      <w:rPr>
        <w:rFonts w:ascii="Times New Roman" w:hAnsi="Times New Roman"/>
        <w:sz w:val="24"/>
        <w:szCs w:val="24"/>
      </w:rPr>
    </w:pPr>
    <w:r>
      <w:rPr>
        <w:rFonts w:ascii="Times New Roman" w:hAnsi="Times New Roman"/>
        <w:sz w:val="24"/>
        <w:szCs w:val="24"/>
      </w:rPr>
      <w:t>PRÓ-REITORIA DE EXENSÃO, CULTURA E COMUNIDADE</w:t>
    </w:r>
  </w:p>
  <w:p>
    <w:pPr>
      <w:pStyle w:val="Header"/>
      <w:ind w:left="1701" w:hanging="0"/>
      <w:jc w:val="center"/>
      <w:rPr>
        <w:rFonts w:ascii="Times New Roman" w:hAnsi="Times New Roman"/>
        <w:sz w:val="24"/>
        <w:szCs w:val="24"/>
      </w:rPr>
    </w:pPr>
    <w:r>
      <w:rPr>
        <w:rFonts w:ascii="Times New Roman" w:hAnsi="Times New Roman"/>
        <w:sz w:val="24"/>
        <w:szCs w:val="24"/>
      </w:rPr>
      <w:t>COORDENADORIA DE EXTENSÃO</w:t>
    </w:r>
  </w:p>
  <w:p>
    <w:pPr>
      <w:pStyle w:val="Header"/>
      <w:ind w:left="426" w:hanging="854"/>
      <w:jc w:val="both"/>
      <w:rPr>
        <w:rFonts w:ascii="Times New Roman" w:hAnsi="Times New Roman"/>
        <w:sz w:val="24"/>
        <w:szCs w:val="24"/>
      </w:rPr>
    </w:pPr>
    <w:r>
      <w:rPr>
        <w:rFonts w:ascii="Times New Roman" w:hAnsi="Times New Roman"/>
        <w:sz w:val="24"/>
        <w:szCs w:val="24"/>
      </w:rPr>
    </w:r>
  </w:p>
  <w:p>
    <w:pPr>
      <w:pStyle w:val="Header"/>
      <w:pBdr>
        <w:bottom w:val="single" w:sz="4" w:space="1" w:color="000000"/>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w="http://schemas.openxmlformats.org/wordprocessingml/2006/main">
  <w:zoom w:percent="14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link w:val="Cabealho"/>
    <w:uiPriority w:val="99"/>
    <w:qFormat/>
    <w:rsid w:val="007c44c8"/>
    <w:rPr>
      <w:rFonts w:ascii="Calibri" w:hAnsi="Calibri" w:eastAsia="Calibri" w:cs="Times New Roman"/>
    </w:rPr>
  </w:style>
  <w:style w:type="character" w:styleId="PlaceholderText">
    <w:name w:val="Placeholder Text"/>
    <w:basedOn w:val="DefaultParagraphFont"/>
    <w:uiPriority w:val="99"/>
    <w:semiHidden/>
    <w:qFormat/>
    <w:rsid w:val="004d6cc7"/>
    <w:rPr>
      <w:color w:val="808080"/>
    </w:rPr>
  </w:style>
  <w:style w:type="character" w:styleId="InternetLink">
    <w:name w:val="Internet Link"/>
    <w:basedOn w:val="DefaultParagraphFont"/>
    <w:uiPriority w:val="99"/>
    <w:unhideWhenUsed/>
    <w:rsid w:val="00f53fef"/>
    <w:rPr>
      <w:color w:val="0563C1" w:themeColor="hyperlink"/>
      <w:u w:val="single"/>
    </w:rPr>
  </w:style>
  <w:style w:type="character" w:styleId="ListLabel1">
    <w:name w:val="ListLabel 1"/>
    <w:qFormat/>
    <w:rPr>
      <w:b/>
      <w:sz w:val="20"/>
      <w:szCs w:val="20"/>
    </w:rPr>
  </w:style>
  <w:style w:type="character" w:styleId="ListLabel2">
    <w:name w:val="ListLabel 2"/>
    <w:qFormat/>
    <w:rPr>
      <w:b/>
      <w:sz w:val="20"/>
      <w:szCs w:val="20"/>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CabealhoChar"/>
    <w:uiPriority w:val="99"/>
    <w:unhideWhenUsed/>
    <w:rsid w:val="007c44c8"/>
    <w:pPr>
      <w:tabs>
        <w:tab w:val="center" w:pos="4252" w:leader="none"/>
        <w:tab w:val="right" w:pos="8504" w:leader="none"/>
      </w:tabs>
      <w:spacing w:lineRule="auto" w:line="240" w:before="0" w:after="0"/>
    </w:pPr>
    <w:rPr>
      <w:rFonts w:ascii="Calibri" w:hAnsi="Calibri" w:eastAsia="Calibri" w:cs="Times New Roman"/>
    </w:rPr>
  </w:style>
  <w:style w:type="paragraph" w:styleId="ListParagraph">
    <w:name w:val="List Paragraph"/>
    <w:basedOn w:val="Normal"/>
    <w:uiPriority w:val="34"/>
    <w:qFormat/>
    <w:rsid w:val="00f277d1"/>
    <w:pPr>
      <w:spacing w:before="0" w:after="160"/>
      <w:ind w:left="720" w:hanging="0"/>
      <w:contextualSpacing/>
    </w:pPr>
    <w:rPr/>
  </w:style>
  <w:style w:type="paragraph" w:styleId="Caption1">
    <w:name w:val="caption"/>
    <w:basedOn w:val="Normal"/>
    <w:next w:val="Normal"/>
    <w:uiPriority w:val="35"/>
    <w:unhideWhenUsed/>
    <w:qFormat/>
    <w:rsid w:val="006b594c"/>
    <w:pPr>
      <w:spacing w:lineRule="auto" w:line="240" w:before="0" w:after="200"/>
    </w:pPr>
    <w:rPr>
      <w:i/>
      <w:iCs/>
      <w:color w:val="44546A" w:themeColor="text2"/>
      <w:sz w:val="18"/>
      <w:szCs w:val="18"/>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1.udesc.br/?idFormulario=624"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glossaryDocument" Target="glossary/document.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LibreOffice/6.0.7.3$MacOSX_X86_64 LibreOffice_project/dc89aa7a9eabfd848af146d5086077aeed2ae4a5</Application>
  <Pages>2</Pages>
  <Words>640</Words>
  <Characters>3439</Characters>
  <CharactersWithSpaces>4131</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2020-02-06T16:16:32Z</dcterms:created>
  <dc:creator/>
  <dc:description/>
  <dc:language>pt-BR</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