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media/image12.jpeg" ContentType="image/jpe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 w:before="0" w:after="0"/>
        <w:rPr>
          <w:rFonts w:eastAsia="Calibri" w:cs="Times New Roman"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RECURSO RESULTADO PRELIMINAR - EDITAL PAEX-PROCEU Nº 001/2019</w:t>
      </w:r>
    </w:p>
    <w:p>
      <w:pPr>
        <w:pStyle w:val="Normal"/>
        <w:spacing w:lineRule="auto" w:line="240" w:before="0" w:after="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Proponente: </w:t>
      </w:r>
      <w:r>
        <w:rPr>
          <w:rFonts w:eastAsia="Calibri" w:cs="Calibri"/>
          <w:sz w:val="24"/>
          <w:szCs w:val="24"/>
        </w:rPr>
        <w:t>Vitor Malaggi</w:t>
      </w:r>
    </w:p>
    <w:p>
      <w:pPr>
        <w:pStyle w:val="Normal"/>
        <w:spacing w:lineRule="auto" w:line="240" w:before="0" w:after="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Unidade de Ensino: </w:t>
      </w: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eastAsia="Calibri" w:cs="Calibri"/>
          <w:color w:val="808080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Modalidade: </w:t>
      </w:r>
      <w:r>
        <w:rPr>
          <w:rFonts w:eastAsia="Calibri" w:cs="Calibri"/>
          <w:color w:val="808080"/>
          <w:sz w:val="24"/>
          <w:szCs w:val="24"/>
        </w:rPr>
        <w:t>Programa</w:t>
      </w:r>
    </w:p>
    <w:p>
      <w:pPr>
        <w:pStyle w:val="Normal"/>
        <w:spacing w:lineRule="auto" w:line="240" w:before="0" w:after="0"/>
        <w:rPr>
          <w:rFonts w:eastAsia="Calibri" w:cs="Calibri"/>
          <w:color w:val="808080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Título da Ação: </w:t>
      </w:r>
      <w:r>
        <w:rPr>
          <w:rFonts w:eastAsia="Calibri" w:cs="Calibri"/>
          <w:color w:val="808080"/>
          <w:sz w:val="24"/>
          <w:szCs w:val="24"/>
        </w:rPr>
        <w:t>Nexos entre universidade e comunidade: a formação continuada pela extensão</w:t>
      </w:r>
    </w:p>
    <w:p>
      <w:pPr>
        <w:pStyle w:val="Normal"/>
        <w:spacing w:lineRule="auto" w:line="240" w:before="0" w:after="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Indicar revisor </w:t>
      </w:r>
      <w:r>
        <w:rPr>
          <w:rFonts w:eastAsia="Calibri" w:cs="Calibri"/>
          <w:sz w:val="20"/>
          <w:szCs w:val="20"/>
        </w:rPr>
        <w:t>(01, 02 e/ou 03)</w:t>
      </w:r>
      <w:r>
        <w:rPr>
          <w:rFonts w:eastAsia="Calibri" w:cs="Calibri"/>
          <w:sz w:val="24"/>
          <w:szCs w:val="24"/>
        </w:rPr>
        <w:t>*:</w:t>
      </w:r>
      <w:r>
        <w:rPr>
          <w:rFonts w:eastAsia="Calibri" w:cs="Calibri"/>
          <w:sz w:val="24"/>
          <w:szCs w:val="24"/>
        </w:rPr>
      </w:r>
    </w:p>
    <w:p>
      <w:pPr>
        <w:pStyle w:val="Normal"/>
        <w:pBdr>
          <w:top w:val="nil"/>
          <w:left w:val="nil"/>
          <w:bottom w:val="single" w:sz="4" w:space="1" w:color="00000A"/>
          <w:right w:val="nil"/>
        </w:pBdr>
        <w:spacing w:lineRule="auto" w:line="240" w:before="0" w:after="0"/>
        <w:jc w:val="both"/>
        <w:rPr>
          <w:rFonts w:eastAsia="Calibri" w:cs="Calibri"/>
          <w:sz w:val="16"/>
          <w:szCs w:val="16"/>
        </w:rPr>
      </w:pPr>
      <w:r>
        <w:rPr>
          <w:rFonts w:eastAsia="Calibri" w:cs="Calibri"/>
          <w:sz w:val="16"/>
          <w:szCs w:val="16"/>
        </w:rPr>
        <w:t xml:space="preserve">*O formulário de recurso é individualizado por revisor (VER O REVISOR NO SIGPROJ). </w:t>
      </w:r>
    </w:p>
    <w:p>
      <w:pPr>
        <w:pStyle w:val="Normal"/>
        <w:pBdr>
          <w:top w:val="nil"/>
          <w:left w:val="nil"/>
          <w:bottom w:val="single" w:sz="4" w:space="1" w:color="00000A"/>
          <w:right w:val="nil"/>
        </w:pBdr>
        <w:spacing w:lineRule="auto" w:line="240" w:before="0" w:after="0"/>
        <w:jc w:val="both"/>
        <w:rPr>
          <w:rFonts w:eastAsia="Calibri" w:cs="Calibri"/>
          <w:sz w:val="16"/>
          <w:szCs w:val="16"/>
        </w:rPr>
      </w:pPr>
      <w:r>
        <w:rPr>
          <w:rFonts w:eastAsia="Calibri" w:cs="Calibri"/>
          <w:sz w:val="16"/>
          <w:szCs w:val="16"/>
        </w:rPr>
      </w:r>
    </w:p>
    <w:p>
      <w:pPr>
        <w:pStyle w:val="Normal"/>
        <w:pBdr>
          <w:top w:val="nil"/>
          <w:left w:val="nil"/>
          <w:bottom w:val="single" w:sz="4" w:space="1" w:color="00000A"/>
          <w:right w:val="nil"/>
        </w:pBdr>
        <w:spacing w:lineRule="auto" w:line="240" w:before="0" w:after="0"/>
        <w:jc w:val="both"/>
        <w:rPr>
          <w:rFonts w:eastAsia="Calibri" w:cs="Calibri"/>
          <w:sz w:val="16"/>
          <w:szCs w:val="16"/>
        </w:rPr>
      </w:pPr>
      <w:r>
        <w:rPr>
          <w:rFonts w:eastAsia="Calibri" w:cs="Calibri"/>
          <w:sz w:val="16"/>
          <w:szCs w:val="16"/>
        </w:rPr>
      </w:r>
    </w:p>
    <w:p>
      <w:pPr>
        <w:pStyle w:val="Normal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ASSINALE A(S) QUESTÃO(ÕES)</w:t>
      </w:r>
      <w:bookmarkStart w:id="0" w:name="_GoBack"/>
      <w:bookmarkEnd w:id="0"/>
      <w:r>
        <w:rPr>
          <w:rFonts w:eastAsia="Calibri" w:cs="Calibri"/>
          <w:sz w:val="24"/>
          <w:szCs w:val="24"/>
        </w:rPr>
        <w:t xml:space="preserve"> PARA EFEITO DE RECURSO:</w:t>
      </w:r>
    </w:p>
    <w:p>
      <w:pPr>
        <w:pStyle w:val="Normal"/>
        <w:pBdr>
          <w:top w:val="nil"/>
          <w:left w:val="nil"/>
          <w:bottom w:val="single" w:sz="4" w:space="1" w:color="00000A"/>
          <w:right w:val="nil"/>
        </w:pBdr>
        <w:rPr>
          <w:rFonts w:eastAsia="MS Gothic" w:cs="Calibri" w:ascii="MS Gothic" w:hAnsi="MS Gothic"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 xml:space="preserve">1 </w:t>
      </w:r>
      <w:r>
        <w:rPr>
          <w:rFonts w:eastAsia="MS Gothic" w:cs="Calibri" w:ascii="MS Gothic" w:hAnsi="MS Gothic"/>
          <w:sz w:val="24"/>
          <w:szCs w:val="24"/>
        </w:rPr>
        <w:t>☐</w:t>
      </w:r>
      <w:r>
        <w:rPr>
          <w:rFonts w:eastAsia="Calibri" w:cs="Calibri"/>
          <w:sz w:val="24"/>
          <w:szCs w:val="24"/>
        </w:rPr>
        <w:t xml:space="preserve">      </w:t>
      </w:r>
      <w:r>
        <w:rPr>
          <w:rFonts w:eastAsia="Calibri" w:cs="Calibri"/>
          <w:b/>
          <w:sz w:val="24"/>
          <w:szCs w:val="24"/>
        </w:rPr>
        <w:t>2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eastAsia="MS Gothic" w:cs="Calibri" w:ascii="MS Gothic" w:hAnsi="MS Gothic"/>
          <w:sz w:val="24"/>
          <w:szCs w:val="24"/>
        </w:rPr>
        <w:t>☐</w:t>
      </w:r>
      <w:r>
        <w:rPr>
          <w:rFonts w:eastAsia="Calibri" w:cs="Calibri"/>
          <w:sz w:val="24"/>
          <w:szCs w:val="24"/>
        </w:rPr>
        <w:t xml:space="preserve">      </w:t>
      </w:r>
      <w:r>
        <w:rPr>
          <w:rFonts w:eastAsia="Calibri" w:cs="Calibri"/>
          <w:b/>
          <w:sz w:val="24"/>
          <w:szCs w:val="24"/>
        </w:rPr>
        <w:t>3</w:t>
      </w:r>
      <w:r>
        <w:rPr>
          <w:rFonts w:eastAsia="MS Gothic" w:cs="Calibri" w:ascii="MS Gothic" w:hAnsi="MS Gothic"/>
          <w:sz w:val="24"/>
          <w:szCs w:val="24"/>
        </w:rPr>
        <w:t>☐</w:t>
      </w:r>
      <w:r>
        <w:rPr>
          <w:rFonts w:eastAsia="Calibri" w:cs="Calibri"/>
          <w:sz w:val="24"/>
          <w:szCs w:val="24"/>
        </w:rPr>
        <w:t xml:space="preserve">     </w:t>
      </w:r>
      <w:r>
        <w:rPr>
          <w:rFonts w:eastAsia="Calibri" w:cs="Calibri"/>
          <w:b/>
          <w:sz w:val="24"/>
          <w:szCs w:val="24"/>
        </w:rPr>
        <w:t>4</w:t>
      </w:r>
      <w:r>
        <w:rPr>
          <w:rFonts w:eastAsia="MS Gothic" w:cs="Calibri" w:ascii="MS Gothic" w:hAnsi="MS Gothic"/>
          <w:sz w:val="24"/>
          <w:szCs w:val="24"/>
        </w:rPr>
        <w:t>☐</w:t>
      </w:r>
      <w:r>
        <w:rPr>
          <w:rFonts w:eastAsia="Calibri" w:cs="Calibri"/>
          <w:sz w:val="24"/>
          <w:szCs w:val="24"/>
        </w:rPr>
        <w:t xml:space="preserve">     </w:t>
      </w:r>
      <w:r>
        <w:rPr>
          <w:rFonts w:eastAsia="Calibri" w:cs="Calibri"/>
          <w:b/>
          <w:sz w:val="24"/>
          <w:szCs w:val="24"/>
        </w:rPr>
        <w:t>5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eastAsia="MS Gothic" w:cs="Calibri" w:ascii="MS Gothic" w:hAnsi="MS Gothic"/>
          <w:sz w:val="24"/>
          <w:szCs w:val="24"/>
        </w:rPr>
        <w:t>X</w:t>
      </w:r>
      <w:r>
        <w:rPr>
          <w:rFonts w:eastAsia="Calibri" w:cs="Calibri"/>
          <w:sz w:val="24"/>
          <w:szCs w:val="24"/>
        </w:rPr>
        <w:t xml:space="preserve">      </w:t>
      </w:r>
      <w:r>
        <w:rPr>
          <w:rFonts w:eastAsia="Calibri" w:cs="Calibri"/>
          <w:b/>
          <w:sz w:val="24"/>
          <w:szCs w:val="24"/>
        </w:rPr>
        <w:t>6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eastAsia="MS Gothic" w:cs="Calibri" w:ascii="MS Gothic" w:hAnsi="MS Gothic"/>
          <w:sz w:val="24"/>
          <w:szCs w:val="24"/>
        </w:rPr>
        <w:t>X</w:t>
      </w:r>
      <w:r>
        <w:rPr>
          <w:rFonts w:eastAsia="Calibri" w:cs="Calibri"/>
          <w:sz w:val="24"/>
          <w:szCs w:val="24"/>
        </w:rPr>
        <w:t xml:space="preserve">      </w:t>
      </w:r>
      <w:r>
        <w:rPr>
          <w:rFonts w:eastAsia="Calibri" w:cs="Calibri"/>
          <w:b/>
          <w:sz w:val="24"/>
          <w:szCs w:val="24"/>
        </w:rPr>
        <w:t>7</w:t>
      </w:r>
      <w:r>
        <w:rPr>
          <w:rFonts w:eastAsia="MS Gothic" w:cs="Calibri" w:ascii="MS Gothic" w:hAnsi="MS Gothic"/>
          <w:sz w:val="24"/>
          <w:szCs w:val="24"/>
        </w:rPr>
        <w:t>☐</w:t>
      </w:r>
      <w:r>
        <w:rPr>
          <w:rFonts w:eastAsia="Calibri" w:cs="Calibri"/>
          <w:b/>
          <w:sz w:val="24"/>
          <w:szCs w:val="24"/>
        </w:rPr>
        <w:t xml:space="preserve">     8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eastAsia="MS Gothic" w:cs="Calibri" w:ascii="MS Gothic" w:hAnsi="MS Gothic"/>
          <w:sz w:val="24"/>
          <w:szCs w:val="24"/>
        </w:rPr>
        <w:t>☐</w:t>
      </w:r>
      <w:r>
        <w:rPr>
          <w:rFonts w:eastAsia="Calibri" w:cs="Calibri"/>
          <w:sz w:val="24"/>
          <w:szCs w:val="24"/>
        </w:rPr>
        <w:t xml:space="preserve">     </w:t>
      </w:r>
      <w:r>
        <w:rPr>
          <w:rFonts w:eastAsia="Calibri" w:cs="Calibri"/>
          <w:b/>
          <w:sz w:val="24"/>
          <w:szCs w:val="24"/>
        </w:rPr>
        <w:t>9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eastAsia="MS Gothic" w:cs="Calibri" w:ascii="MS Gothic" w:hAnsi="MS Gothic"/>
          <w:sz w:val="24"/>
          <w:szCs w:val="24"/>
        </w:rPr>
        <w:t>☐</w:t>
      </w:r>
    </w:p>
    <w:p>
      <w:pPr>
        <w:pStyle w:val="Normal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FUNDAMENTAÇÃO DO RECURSO:</w:t>
      </w:r>
    </w:p>
    <w:p>
      <w:pPr>
        <w:pStyle w:val="Normal"/>
        <w:rPr/>
      </w:pPr>
      <w:r>
        <w:rPr/>
      </w:r>
    </w:p>
    <w:p>
      <w:pPr>
        <w:pStyle w:val="Normal"/>
        <w:rPr>
          <w:rStyle w:val="PlaceholderText"/>
          <w:rFonts w:eastAsia="Calibri" w:cs="Calibri"/>
          <w:b/>
          <w:bCs/>
          <w:sz w:val="24"/>
          <w:szCs w:val="24"/>
        </w:rPr>
      </w:pPr>
      <w:r>
        <w:rPr>
          <w:rStyle w:val="PlaceholderText"/>
          <w:rFonts w:eastAsia="Calibri" w:cs="Calibri"/>
          <w:b/>
          <w:bCs/>
          <w:sz w:val="24"/>
          <w:szCs w:val="24"/>
        </w:rPr>
        <w:t>Questão 5:</w:t>
      </w:r>
    </w:p>
    <w:p>
      <w:pPr>
        <w:pStyle w:val="Normal"/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>N</w:t>
      </w:r>
      <w:r>
        <w:rPr>
          <w:rStyle w:val="PlaceholderText"/>
          <w:rFonts w:eastAsia="Calibri" w:cs="Calibri"/>
          <w:sz w:val="24"/>
          <w:szCs w:val="24"/>
        </w:rPr>
        <w:t xml:space="preserve">o subitem 1.4 – Parcerias evidencia-se 6 (seis) parcerias externas na execução do Programa de Extensão submetido, </w:t>
      </w:r>
      <w:r>
        <w:rPr>
          <w:rStyle w:val="PlaceholderText"/>
          <w:rFonts w:eastAsia="Calibri" w:cs="Calibri"/>
          <w:sz w:val="24"/>
          <w:szCs w:val="24"/>
        </w:rPr>
        <w:t>tal como atestado nas</w:t>
      </w:r>
      <w:r>
        <w:rPr>
          <w:rStyle w:val="PlaceholderText"/>
          <w:rFonts w:eastAsia="Calibri" w:cs="Calibri"/>
          <w:sz w:val="24"/>
          <w:szCs w:val="24"/>
        </w:rPr>
        <w:t xml:space="preserve"> páginas 5-6. São elas:</w:t>
      </w:r>
    </w:p>
    <w:p>
      <w:pPr>
        <w:pStyle w:val="Normal"/>
        <w:numPr>
          <w:ilvl w:val="0"/>
          <w:numId w:val="1"/>
        </w:numPr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>Escola de Turismo e Hotelaria Canto da Ilha (ETHCI/CUT);</w:t>
      </w:r>
    </w:p>
    <w:p>
      <w:pPr>
        <w:pStyle w:val="Normal"/>
        <w:numPr>
          <w:ilvl w:val="0"/>
          <w:numId w:val="1"/>
        </w:numPr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>Sindicato dos</w:t>
        <w:t xml:space="preserve"> Trabalhadores no</w:t>
        <w:t xml:space="preserve"> Serviço Público Municipal de Florianópolis (SINTRA</w:t>
        <w:t>SEM);</w:t>
      </w:r>
    </w:p>
    <w:p>
      <w:pPr>
        <w:pStyle w:val="Normal"/>
        <w:numPr>
          <w:ilvl w:val="0"/>
          <w:numId w:val="1"/>
        </w:numPr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>Escola de Formação</w:t>
        <w:t xml:space="preserve"> Sindical Sul (Escola</w:t>
        <w:t xml:space="preserve"> Sul/CUT);</w:t>
      </w:r>
    </w:p>
    <w:p>
      <w:pPr>
        <w:pStyle w:val="Normal"/>
        <w:numPr>
          <w:ilvl w:val="0"/>
          <w:numId w:val="1"/>
        </w:numPr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>Grupo de Pesquisa</w:t>
        <w:t xml:space="preserve"> Nexos: Teoria Crítica e Pesquisa Interdisciplinar – Sudeste (NEXOS – Sudeste);</w:t>
      </w:r>
    </w:p>
    <w:p>
      <w:pPr>
        <w:pStyle w:val="Normal"/>
        <w:numPr>
          <w:ilvl w:val="0"/>
          <w:numId w:val="1"/>
        </w:numPr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>Grupo de Pesquisa</w:t>
        <w:t xml:space="preserve"> Nexos: Teoria Crítica e Pesquisa Interdisciplinar – Nordeste (NEXOS – Nordeste);</w:t>
      </w:r>
    </w:p>
    <w:p>
      <w:pPr>
        <w:pStyle w:val="Normal"/>
        <w:numPr>
          <w:ilvl w:val="0"/>
          <w:numId w:val="1"/>
        </w:numPr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>Grupo de Pesquisa</w:t>
        <w:t xml:space="preserve"> Nexos: Teoria Crítica e Pesquisa Interdisciplinar – Oeste/Norte (NEXOS – Oeste/Norte).</w:t>
      </w:r>
    </w:p>
    <w:p>
      <w:pPr>
        <w:pStyle w:val="Normal"/>
        <w:jc w:val="both"/>
        <w:rPr>
          <w:rStyle w:val="PlaceholderText"/>
          <w:rFonts w:eastAsia="Calibri" w:cs="Calibri"/>
          <w:sz w:val="24"/>
          <w:szCs w:val="24"/>
        </w:rPr>
      </w:pPr>
      <w:r>
        <w:rPr>
          <w:rStyle w:val="PlaceholderText"/>
          <w:rFonts w:eastAsia="Calibri" w:cs="Calibri"/>
          <w:sz w:val="24"/>
          <w:szCs w:val="24"/>
        </w:rPr>
        <w:t xml:space="preserve">Portanto, solicita-se reconsideração na avaliação desta questão, </w:t>
      </w:r>
      <w:r>
        <w:rPr>
          <w:rStyle w:val="PlaceholderText"/>
          <w:rFonts w:eastAsia="Calibri" w:cs="Calibri"/>
          <w:sz w:val="24"/>
          <w:szCs w:val="24"/>
        </w:rPr>
        <w:t xml:space="preserve">posto que o Programa de Extensão envolve “Três parcerias ou mais (10 pontos)”. Vale </w:t>
      </w:r>
      <w:r>
        <w:rPr>
          <w:rStyle w:val="PlaceholderText"/>
          <w:rFonts w:eastAsia="Calibri" w:cs="Calibri"/>
          <w:sz w:val="24"/>
          <w:szCs w:val="24"/>
        </w:rPr>
        <w:t xml:space="preserve">destacar que, por problemas na Plataforma SIGPROJ até vésperas da submissão dos Programas ao Edital PAEX </w:t>
      </w:r>
      <w:r>
        <w:rPr>
          <w:rStyle w:val="PlaceholderText"/>
          <w:rFonts w:eastAsia="Calibri" w:cs="Calibri"/>
          <w:sz w:val="24"/>
          <w:szCs w:val="24"/>
        </w:rPr>
        <w:t>em tela</w:t>
      </w:r>
      <w:r>
        <w:rPr>
          <w:rStyle w:val="PlaceholderText"/>
          <w:rFonts w:eastAsia="Calibri" w:cs="Calibri"/>
          <w:sz w:val="24"/>
          <w:szCs w:val="24"/>
        </w:rPr>
        <w:t>, não foi possível incluir n</w:t>
      </w:r>
      <w:r>
        <w:rPr>
          <w:rStyle w:val="PlaceholderText"/>
          <w:rFonts w:eastAsia="Calibri" w:cs="Calibri"/>
          <w:sz w:val="24"/>
          <w:szCs w:val="24"/>
        </w:rPr>
        <w:t>o item</w:t>
      </w:r>
      <w:r>
        <w:rPr>
          <w:rStyle w:val="PlaceholderText"/>
          <w:rFonts w:eastAsia="Calibri" w:cs="Calibri"/>
          <w:sz w:val="24"/>
          <w:szCs w:val="24"/>
        </w:rPr>
        <w:t xml:space="preserve"> “Equipe </w:t>
      </w:r>
      <w:r>
        <w:rPr>
          <w:rStyle w:val="PlaceholderText"/>
          <w:rFonts w:eastAsia="Calibri" w:cs="Calibri"/>
          <w:sz w:val="24"/>
          <w:szCs w:val="24"/>
        </w:rPr>
        <w:t>de Execução - Outros membros externos a UDESC” todos os sujeitos participantes derivados destas parcerias externas.</w:t>
      </w:r>
    </w:p>
    <w:p>
      <w:pPr>
        <w:pStyle w:val="Normal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rPr>
          <w:rStyle w:val="PlaceholderText"/>
          <w:rFonts w:eastAsia="Calibri" w:cs="Calibri"/>
          <w:b/>
          <w:bCs/>
          <w:sz w:val="24"/>
          <w:szCs w:val="24"/>
        </w:rPr>
      </w:pPr>
      <w:r>
        <w:rPr>
          <w:rStyle w:val="PlaceholderText"/>
          <w:rFonts w:eastAsia="Calibri" w:cs="Calibri"/>
          <w:b/>
          <w:bCs/>
          <w:sz w:val="24"/>
          <w:szCs w:val="24"/>
        </w:rPr>
        <w:t xml:space="preserve">Questão </w:t>
      </w:r>
      <w:r>
        <w:rPr>
          <w:rStyle w:val="PlaceholderText"/>
          <w:rFonts w:eastAsia="Calibri" w:cs="Calibri"/>
          <w:b/>
          <w:bCs/>
          <w:sz w:val="24"/>
          <w:szCs w:val="24"/>
        </w:rPr>
        <w:t>6</w:t>
      </w:r>
      <w:r>
        <w:rPr>
          <w:rStyle w:val="PlaceholderText"/>
          <w:rFonts w:eastAsia="Calibri" w:cs="Calibri"/>
          <w:b/>
          <w:bCs/>
          <w:sz w:val="24"/>
          <w:szCs w:val="24"/>
        </w:rPr>
        <w:t>:</w:t>
      </w:r>
    </w:p>
    <w:p>
      <w:pPr>
        <w:pStyle w:val="Normal"/>
        <w:jc w:val="both"/>
        <w:rPr>
          <w:rStyle w:val="PlaceholderText"/>
          <w:rFonts w:eastAsia="Calibri" w:cs="Calibri" w:ascii="Calibri" w:hAnsi="Calibri"/>
          <w:b w:val="false"/>
          <w:bCs w:val="false"/>
          <w:sz w:val="24"/>
          <w:szCs w:val="24"/>
        </w:rPr>
      </w:pP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>Entendemos que o Envolvimento Intersetorial do Programa de Extensão submetido deve estar classificado como “Intercentros”, c</w:t>
      </w: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>lassificação</w:t>
      </w: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 xml:space="preserve"> passível de ser </w:t>
      </w: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 xml:space="preserve">novamente </w:t>
      </w: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>atestad</w:t>
      </w: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>a</w:t>
      </w: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 xml:space="preserve"> </w:t>
      </w:r>
      <w:r>
        <w:rPr>
          <w:rStyle w:val="PlaceholderText"/>
          <w:rFonts w:eastAsia="Calibri" w:cs="Calibri"/>
          <w:b w:val="false"/>
          <w:bCs w:val="false"/>
          <w:sz w:val="24"/>
          <w:szCs w:val="24"/>
        </w:rPr>
        <w:t xml:space="preserve">pelo olhar atento ao subitem 1.4 – Parcerias. Inclusive, na Questão 10 – Considerações do avaliador, este parece ter indicado </w:t>
      </w:r>
      <w:r>
        <w:rPr>
          <w:rStyle w:val="PlaceholderText"/>
          <w:rFonts w:eastAsia="Calibri" w:cs="Calibri" w:ascii="Calibri" w:hAnsi="Calibri"/>
          <w:b w:val="false"/>
          <w:bCs w:val="false"/>
          <w:sz w:val="24"/>
          <w:szCs w:val="24"/>
        </w:rPr>
        <w:t>textualmente equivoco cometido no preenchimento da Questão 6. Citamos abaixo seu parecer descritivo:</w:t>
      </w:r>
    </w:p>
    <w:p>
      <w:pPr>
        <w:pStyle w:val="Normal"/>
        <w:jc w:val="center"/>
        <w:rPr>
          <w:rFonts w:eastAsia="Calibri" w:cs="Calibri" w:ascii="Calibri" w:hAnsi="Calibri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“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Sou de parecer favorável a aceitação da ação de extensão, mediante a colocação abaixo: Questão 5: Intercentros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”</w:t>
      </w:r>
    </w:p>
    <w:p>
      <w:pPr>
        <w:pStyle w:val="Normal"/>
        <w:pBdr>
          <w:top w:val="nil"/>
          <w:left w:val="nil"/>
          <w:bottom w:val="single" w:sz="12" w:space="1" w:color="00000A"/>
          <w:right w:val="nil"/>
        </w:pBdr>
        <w:rPr>
          <w:rFonts w:eastAsia="Calibri" w:cs="Times New Roman" w:ascii="Calibri" w:hAnsi="Calibri"/>
          <w:sz w:val="24"/>
          <w:szCs w:val="24"/>
        </w:rPr>
      </w:pPr>
      <w:r>
        <w:rPr>
          <w:rFonts w:eastAsia="Calibri" w:cs="Times New Roman" w:ascii="Calibri" w:hAnsi="Calibri"/>
          <w:sz w:val="24"/>
          <w:szCs w:val="24"/>
        </w:rPr>
      </w:r>
    </w:p>
    <w:p>
      <w:pPr>
        <w:pStyle w:val="Normal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>
      <w:pPr>
        <w:pStyle w:val="Normal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PREZADO(A) PROPONENTE,</w:t>
      </w:r>
    </w:p>
    <w:p>
      <w:pPr>
        <w:pStyle w:val="Normal"/>
        <w:jc w:val="both"/>
        <w:rPr>
          <w:rStyle w:val="LinkdaInternet"/>
          <w:b/>
          <w:sz w:val="20"/>
          <w:szCs w:val="20"/>
        </w:rPr>
      </w:pPr>
      <w:r>
        <w:rPr>
          <w:b/>
          <w:sz w:val="20"/>
          <w:szCs w:val="20"/>
        </w:rPr>
        <w:t xml:space="preserve">APÓS O PREENCHIMENTO, ANEXAR O FORMULÁRIO DE RECURSO EM TELA NO SEGUINTE LINK: </w:t>
      </w:r>
      <w:hyperlink r:id="rId2">
        <w:r>
          <w:rPr>
            <w:rStyle w:val="LinkdaInternet"/>
            <w:b/>
            <w:sz w:val="20"/>
            <w:szCs w:val="20"/>
          </w:rPr>
          <w:t>http://www1.udesc.br/?idFormulario=624</w:t>
        </w:r>
      </w:hyperlink>
    </w:p>
    <w:p>
      <w:pPr>
        <w:pStyle w:val="Normal"/>
        <w:jc w:val="both"/>
        <w:rPr/>
      </w:pPr>
      <w:r>
        <w:rPr/>
      </w:r>
    </w:p>
    <w:sectPr>
      <w:headerReference w:type="default" r:id="rId3"/>
      <w:type w:val="nextPage"/>
      <w:pgSz w:w="11906" w:h="16838"/>
      <w:pgMar w:left="1134" w:right="1134" w:header="142" w:top="1701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MS Gothic">
    <w:charset w:val="01"/>
    <w:family w:val="roman"/>
    <w:pitch w:val="variable"/>
  </w:font>
  <w:font w:name="Calibri">
    <w:charset w:val="01"/>
    <w:family w:val="swiss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Cabealho"/>
      <w:ind w:left="-993" w:right="0" w:hanging="0"/>
      <w:jc w:val="both"/>
      <w:rPr/>
    </w:pPr>
    <w:r>
      <w:rPr/>
      <w:t xml:space="preserve">              </w:t>
      <w:drawing>
        <wp:anchor behindDoc="1" distT="0" distB="0" distL="114300" distR="114300" simplePos="0" locked="0" layoutInCell="1" allowOverlap="1" relativeHeight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0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>
    <w:pPr>
      <w:pStyle w:val="Cabealho"/>
      <w:ind w:left="1701" w:right="0" w:hanging="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>
    <w:pPr>
      <w:pStyle w:val="Cabealho"/>
      <w:ind w:left="1701" w:right="0" w:hanging="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>
    <w:pPr>
      <w:pStyle w:val="Cabealho"/>
      <w:ind w:left="1701" w:right="0" w:hanging="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>
    <w:pPr>
      <w:pStyle w:val="Cabealho"/>
      <w:ind w:left="426" w:right="0" w:hanging="854"/>
      <w:jc w:val="both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Cabealho"/>
      <w:pBdr>
        <w:top w:val="nil"/>
        <w:left w:val="nil"/>
        <w:bottom w:val="single" w:sz="4" w:space="1" w:color="00000A"/>
        <w:right w:val="nil"/>
      </w:pBdr>
      <w:jc w:val="both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pt-BR" w:eastAsia="en-US" w:bidi="ar-SA"/>
      </w:rPr>
    </w:rPrDefault>
    <w:pPrDefault>
      <w:pPr>
        <w:spacing w:lineRule="auto" w:line="256"/>
      </w:pPr>
    </w:pPrDefault>
  </w:docDefaults>
  <w:latentStyles w:count="375" w:defSemiHidden="0" w:defUIPriority="99" w:defQFormat="0" w:defUnhideWhenUsed="0" w:defLockedState="0">
    <w:lsdException w:qFormat="1" w:uiPriority="0" w:name="Normal"/>
    <w:lsdException w:qFormat="1" w:uiPriority="9" w:name="heading 1"/>
    <w:lsdException w:unhideWhenUsed="1" w:semiHidden="1" w:qFormat="1" w:uiPriority="9" w:name="heading 2"/>
    <w:lsdException w:unhideWhenUsed="1" w:semiHidden="1" w:qFormat="1" w:uiPriority="9" w:name="heading 3"/>
    <w:lsdException w:unhideWhenUsed="1" w:semiHidden="1" w:qFormat="1" w:uiPriority="9" w:name="heading 4"/>
    <w:lsdException w:unhideWhenUsed="1" w:semiHidden="1" w:qFormat="1" w:uiPriority="9" w:name="heading 5"/>
    <w:lsdException w:unhideWhenUsed="1" w:semiHidden="1" w:qFormat="1" w:uiPriority="9" w:name="heading 6"/>
    <w:lsdException w:unhideWhenUsed="1" w:semiHidden="1" w:qFormat="1" w:uiPriority="9" w:name="heading 7"/>
    <w:lsdException w:unhideWhenUsed="1" w:semiHidden="1" w:qFormat="1" w:uiPriority="9" w:name="heading 8"/>
    <w:lsdException w:unhideWhenUsed="1" w:semiHidden="1" w:qFormat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qFormat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Web 1"/>
    <w:lsdException w:unhideWhenUsed="1" w:semiHidden="1" w:name="Table Web 2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unhideWhenUsed="1" w:semiHidden="1" w:qFormat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Droid Sans Fallback" w:cs="Calibr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uiPriority w:val="99"/>
    <w:link w:val="Cabealho"/>
    <w:rsid w:val="007c44c8"/>
    <w:basedOn w:val="DefaultParagraphFont"/>
    <w:rPr>
      <w:rFonts w:ascii="Calibri" w:hAnsi="Calibri" w:eastAsia="Calibri" w:cs="Times New Roman"/>
    </w:rPr>
  </w:style>
  <w:style w:type="character" w:styleId="PlaceholderText">
    <w:name w:val="Placeholder Text"/>
    <w:uiPriority w:val="99"/>
    <w:semiHidden/>
    <w:rsid w:val="004d6cc7"/>
    <w:basedOn w:val="DefaultParagraphFont"/>
    <w:rPr>
      <w:color w:val="808080"/>
    </w:rPr>
  </w:style>
  <w:style w:type="character" w:styleId="LinkdaInternet">
    <w:name w:val="Link da Internet"/>
    <w:uiPriority w:val="99"/>
    <w:unhideWhenUsed/>
    <w:rsid w:val="00f53fef"/>
    <w:basedOn w:val="DefaultParagraphFont"/>
    <w:rPr>
      <w:color w:val="0563C1"/>
      <w:u w:val="single"/>
      <w:lang w:val="zxx" w:eastAsia="zxx" w:bidi="zxx"/>
    </w:rPr>
  </w:style>
  <w:style w:type="character" w:styleId="Marcas">
    <w:name w:val="Marcas"/>
    <w:rPr>
      <w:rFonts w:ascii="OpenSymbol" w:hAnsi="OpenSymbol" w:eastAsia="OpenSymbol" w:cs="OpenSymbol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FreeSans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FreeSans"/>
    </w:rPr>
  </w:style>
  <w:style w:type="paragraph" w:styleId="Cabealho">
    <w:name w:val="Cabeçalho"/>
    <w:uiPriority w:val="99"/>
    <w:unhideWhenUsed/>
    <w:link w:val="CabealhoChar"/>
    <w:rsid w:val="007c44c8"/>
    <w:basedOn w:val="Normal"/>
    <w:pPr>
      <w:tabs>
        <w:tab w:val="center" w:pos="4252" w:leader="none"/>
        <w:tab w:val="right" w:pos="8504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ListParagraph">
    <w:name w:val="List Paragraph"/>
    <w:uiPriority w:val="34"/>
    <w:qFormat/>
    <w:rsid w:val="00f277d1"/>
    <w:basedOn w:val="Normal"/>
    <w:pPr>
      <w:spacing w:before="0" w:after="160"/>
      <w:ind w:left="720" w:right="0" w:hanging="0"/>
      <w:contextualSpacing/>
    </w:pPr>
    <w:rPr/>
  </w:style>
  <w:style w:type="paragraph" w:styleId="Caption">
    <w:name w:val="caption"/>
    <w:uiPriority w:val="35"/>
    <w:qFormat/>
    <w:unhideWhenUsed/>
    <w:rsid w:val="006b594c"/>
    <w:basedOn w:val="Normal"/>
    <w:next w:val="Normal"/>
    <w:pPr>
      <w:spacing w:lineRule="auto" w:line="240" w:before="0" w:after="200"/>
    </w:pPr>
    <w:rPr>
      <w:i/>
      <w:iCs/>
      <w:color w:val="44546A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1.udesc.br/?idFormulario=624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2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LibreOffice/4.2.8.2$Linux_X86_64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2019-12-18T01:11:00Z</dcterms:created>
  <dc:creator>TANIA DA SILVEIRA FOLETTO</dc:creator>
  <dc:language>pt-BR</dc:language>
  <cp:lastModifiedBy>Fábio Napoleão</cp:lastModifiedBy>
  <dcterms:modified xsi:type="dcterms:W3CDTF">2019-12-18T01:12:00Z</dcterms:modified>
  <cp:revision>3</cp:revision>
</cp:coreProperties>
</file>