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065" w:rsidRPr="00DE6AF1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sz w:val="24"/>
          <w:szCs w:val="24"/>
          <w:lang w:val="pt" w:eastAsia="pt-BR"/>
        </w:rPr>
      </w:pPr>
      <w:bookmarkStart w:id="0" w:name="_GoBack"/>
      <w:bookmarkEnd w:id="0"/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>Joinville, 21 de janeiro de 2020.</w:t>
      </w:r>
    </w:p>
    <w:p w:rsidR="00282065" w:rsidRPr="00DE6AF1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b/>
          <w:bCs/>
          <w:sz w:val="24"/>
          <w:szCs w:val="24"/>
          <w:lang w:val="pt" w:eastAsia="pt-BR"/>
        </w:rPr>
      </w:pPr>
      <w:r w:rsidRPr="00DE6AF1">
        <w:rPr>
          <w:rFonts w:ascii="Verdana" w:eastAsia="Times New Roman" w:hAnsi="Verdana" w:cs="Times New Roman"/>
          <w:b/>
          <w:bCs/>
          <w:sz w:val="24"/>
          <w:szCs w:val="24"/>
          <w:lang w:val="pt" w:eastAsia="pt-BR"/>
        </w:rPr>
        <w:t xml:space="preserve">Solicitação de Recurso para o Edital </w:t>
      </w:r>
      <w:r w:rsidRPr="00DE6AF1">
        <w:rPr>
          <w:rFonts w:ascii="Verdana" w:hAnsi="Verdana"/>
          <w:b/>
          <w:bCs/>
        </w:rPr>
        <w:t>PAEX-PROCEU/UDESC n°01/2019</w:t>
      </w:r>
      <w:r w:rsidRPr="00DE6AF1">
        <w:rPr>
          <w:rFonts w:ascii="Verdana" w:eastAsia="Times New Roman" w:hAnsi="Verdana" w:cs="Times New Roman"/>
          <w:b/>
          <w:bCs/>
          <w:sz w:val="24"/>
          <w:szCs w:val="24"/>
          <w:lang w:val="pt" w:eastAsia="pt-BR"/>
        </w:rPr>
        <w:t xml:space="preserve"> </w:t>
      </w:r>
    </w:p>
    <w:p w:rsidR="00282065" w:rsidRPr="00DE6AF1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sz w:val="24"/>
          <w:szCs w:val="24"/>
          <w:lang w:val="pt" w:eastAsia="pt-BR"/>
        </w:rPr>
      </w:pP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>Solicitante: Virgínia Grace Barros</w:t>
      </w:r>
    </w:p>
    <w:p w:rsidR="00282065" w:rsidRPr="00DE6AF1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sz w:val="24"/>
          <w:szCs w:val="24"/>
          <w:lang w:eastAsia="pt-BR"/>
        </w:rPr>
      </w:pP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Venho por meio deste apresentar recurso e solicitar nova avaliação do Projeto apresentado ao </w:t>
      </w:r>
      <w:r w:rsidRPr="00DE6AF1">
        <w:rPr>
          <w:rFonts w:ascii="Verdana" w:hAnsi="Verdana"/>
        </w:rPr>
        <w:t xml:space="preserve">Edital PAEX-PROCEU/UDESC n°01/2019, 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intitulado: “ Segurança Hídrica – Análise de períodos de escassez de hídrica na Bacia Hidrográfica do Rio Cubatão”.</w:t>
      </w:r>
    </w:p>
    <w:p w:rsidR="00282065" w:rsidRPr="00DE6AF1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sz w:val="24"/>
          <w:szCs w:val="24"/>
          <w:lang w:val="pt" w:eastAsia="pt-BR"/>
        </w:rPr>
      </w:pP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Solicito recurso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 xml:space="preserve"> com as justificativas: 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o projeto apresentado tem avaliações completamente discrepantes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>,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 xml:space="preserve"> o 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projeto apresentava todas as exigências do referido edital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>;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discordo da avaliação do Revisor 2, e não houve avaliação por parte do Revisor 3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.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 xml:space="preserve"> Apresento com mais detalhes estes itens a seguir.</w:t>
      </w:r>
    </w:p>
    <w:p w:rsidR="00282065" w:rsidRPr="00DE6AF1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sz w:val="24"/>
          <w:szCs w:val="24"/>
          <w:lang w:eastAsia="pt-BR"/>
        </w:rPr>
      </w:pP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Enquanto o Revisor 1 avaliou o projeto com nota relativa: 96,99, o Revisor 2 o avaliou com nota relativa 1,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5; O terceiro revisor sequer assinalou as respostas e não há qualquer avaliação. Com relação ao R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evisor 2, o mesmo classificou o projeto como pesquisa, porém a proposta não apresenta caráter de pesquisa científica na área de hidrologia e, adiante, </w:t>
      </w:r>
      <w:proofErr w:type="spellStart"/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explico</w:t>
      </w:r>
      <w:proofErr w:type="spellEnd"/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as razões desta minha afirmação.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 xml:space="preserve"> 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>Também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 xml:space="preserve"> c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abe recordar os conceitos de extensão e como a mesma se articula com a pesquisa e o ensino. </w:t>
      </w:r>
    </w:p>
    <w:p w:rsidR="00282065" w:rsidRPr="00DE6AF1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sz w:val="24"/>
          <w:szCs w:val="24"/>
          <w:lang w:eastAsia="pt-BR"/>
        </w:rPr>
      </w:pP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De acordo com a RESOLUÇÃO Nº 7, DE 18 DE DEZEMBRO DE 2018, que Estabelece as Diretrizes para a Extensão na Educação Superi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or Brasileira e regimenta o disposto na Meta 12.7 da Lei nº 13.005/2014, que aprova o Plano Nacional de Educação - PNE 2014-2024 e dá outras providências, extensão é entendida como: a atividade que se integra à matriz curricular e à organização da pesquisa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, constituindo-se em processo interdisciplinar, político educacional, cultural, científico, 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lastRenderedPageBreak/>
        <w:t>tecnológico, que promove a interação transformadora entre as instituições de ensino superior e os outros setores da sociedade, por meio da produção e da aplicação d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o conhecimento, em articulação permanente com o ensino e a pesquisa.</w:t>
      </w:r>
    </w:p>
    <w:p w:rsidR="00282065" w:rsidRPr="00DE6AF1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sz w:val="24"/>
          <w:szCs w:val="24"/>
          <w:lang w:eastAsia="pt-BR"/>
        </w:rPr>
      </w:pP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Desta forma observa-se que o ensino, a pesquisa e a extensão estão intimamente associados. De fato, o artigo 207 da Constituição Brasileira dispõe que "As universidades gozam de autonomia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didático-científica, administrativa e de gestão financeira e patrimonial e obedecerão ao princípio da </w:t>
      </w:r>
      <w:proofErr w:type="spellStart"/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indissociabilidade</w:t>
      </w:r>
      <w:proofErr w:type="spellEnd"/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entre ensino, pesquisa e extensão".</w:t>
      </w:r>
    </w:p>
    <w:p w:rsidR="00282065" w:rsidRPr="00DE6AF1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sz w:val="24"/>
          <w:szCs w:val="24"/>
          <w:lang w:val="pt" w:eastAsia="pt-BR"/>
        </w:rPr>
      </w:pP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No projeto apresentado ao Edital PAEX-PROCEU/UDESC n°01/2019, intitulado: “ Segurança Hídrica – An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álise de períodos de escassez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de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hídrica na Bacia Hidrográfica do Rio Cubatão” observam-se nos objetivos a articulação entre as instituições parceiras do projeto em todas as etapas. Não há, entre os objetivos ou nos métodos, a proposição de novas metodolog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ias, a observação de dinâmicas ambientais utilizando traçadores, ou utilização de modelagens numéricas, que são propostas válidas de pesquisas atuais na área hidrológica. Os objetivos são, a saber: 1. Auxiliar a definição de segurança hídrica e níveis que 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possam ser usados como guia para a gestão das águas no Município de Joinville, SC; 2. Fazer um estudo de níveis hidrométricos extremos na Bacia Hidrográfica do Rio Cubatão, município de Joinville, SC, dentro do contexto da Política Nacional de Proteção e D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efesa Civil, por meio do levantamento de dados disponíveis no HIDROWEB e do levantamento, </w:t>
      </w:r>
      <w:r w:rsidRPr="00DE6AF1">
        <w:rPr>
          <w:rFonts w:ascii="Verdana" w:eastAsia="Times New Roman" w:hAnsi="Verdana" w:cs="Times New Roman"/>
          <w:i/>
          <w:iCs/>
          <w:sz w:val="24"/>
          <w:szCs w:val="24"/>
          <w:lang w:eastAsia="pt-BR"/>
        </w:rPr>
        <w:t>in loco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, de dados de vazão e cota em uma seção do Rio definida em conjunto com a Defesa Civil Municipal e com o Comitê de Bacia dos Rios Cubatão e Cachoeira; 3. Incen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tivar a articulação entre instituições municipais, estaduais de modo a estabelecer estratégias de resiliência perante eventos extremos na região estudada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>.</w:t>
      </w:r>
    </w:p>
    <w:p w:rsidR="00282065" w:rsidRPr="00DE6AF1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sz w:val="24"/>
          <w:szCs w:val="24"/>
          <w:lang w:eastAsia="pt-BR"/>
        </w:rPr>
      </w:pP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lastRenderedPageBreak/>
        <w:t>No que diz respeito à metodologia, é proposta a aplicação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>;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de métodos tradicionais ensinados na disci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plina de Hidrologia, sétima fase do curso de engenharia civil. Apresento a metodologia proposta no projeto: 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 xml:space="preserve">1. 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Serão feitos reconhecimento na bacia hidrográfica de interesse para identificação da seção de medição que respeitem os critérios hidráulicos e de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proximidade das estações da defesa civil e/ou do Comitê de Bacia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>;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 xml:space="preserve">2. 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Serão levantadas todas as estações fluviométricas (em atividade ou não), na bacia do Rio Cubatão. Após isso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>,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as encontradas serão plotadas em mapa por meio de geoprocessamento. As inform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ações serão tabuladas para verificação de tamanho de séries, ocorrência de falhas, necessidade de preenchimento destas, e verificação de consistência. Além disso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>,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serão analisadas as cotas, curvas e vazões disponíveis para verificação de inconsistências em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função de mudanças no leito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>;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 xml:space="preserve"> 3. 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>Posteriormente,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será montada uma agenda de ida a campo para medições das alturas </w:t>
      </w:r>
      <w:proofErr w:type="spellStart"/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linimétricas</w:t>
      </w:r>
      <w:proofErr w:type="spellEnd"/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e vazão utilizando os equipamentos disponíveis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>;</w:t>
      </w:r>
      <w:r w:rsidRPr="00DE6AF1">
        <w:rPr>
          <w:rFonts w:ascii="Verdana" w:eastAsia="Times New Roman" w:hAnsi="Verdana" w:cs="Times New Roman"/>
          <w:sz w:val="24"/>
          <w:szCs w:val="24"/>
          <w:lang w:val="pt" w:eastAsia="pt-BR"/>
        </w:rPr>
        <w:t xml:space="preserve"> 4. A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avaliação dos resultados se dá a partir da construção das diferentes curvas 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de descarga e determinação dos níveis hidrométricos críticos nas regiões sujeitas a inundações, em consonância com os períodos de estiagem e altas vazões.</w:t>
      </w:r>
    </w:p>
    <w:p w:rsidR="00282065" w:rsidRPr="00DE6AF1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sz w:val="24"/>
          <w:szCs w:val="24"/>
          <w:lang w:eastAsia="pt-BR"/>
        </w:rPr>
      </w:pP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Mais uma vez, não se observa no projeto proposta de caráter de pesquisa científica isso, porém, não e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xclui a aplicação de propostas metodológicas válidas do ponto de vista técnico-científico. Caso isso não seja observado os resultados serão pífios e sem qualquer tipo de credibilidade, os alunos nada aprenderão e a universidade será completamente desacredi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tada pela sociedade.  </w:t>
      </w:r>
    </w:p>
    <w:p w:rsidR="00282065" w:rsidRPr="00DE6AF1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sz w:val="24"/>
          <w:szCs w:val="24"/>
          <w:lang w:eastAsia="pt-BR"/>
        </w:rPr>
      </w:pP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Observa-se ainda de acordo com Silva (1997) que “por meio da extensão, a universidade tem a oportunidade de levar, até a comunidade, os conhecimentos de que é detentora, os novos conhecimentos que produz com a pesquisa, e que normalm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ente divulga com o ensino. É uma forma de a universidade socializar e democratizar 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lastRenderedPageBreak/>
        <w:t>o conhecimento, levando-o aos não universitários. Assim, o conhecimento não se traduz em privilégio apenas da minoria que é aprovada no vestibular, mas difundido pela comuni</w:t>
      </w: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 xml:space="preserve">dade, consoante os próprios interesses dessa mesma </w:t>
      </w:r>
      <w:proofErr w:type="gramStart"/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comunidade.”</w:t>
      </w:r>
      <w:proofErr w:type="gramEnd"/>
    </w:p>
    <w:p w:rsidR="00282065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sz w:val="24"/>
          <w:szCs w:val="24"/>
          <w:lang w:eastAsia="pt-BR"/>
        </w:rPr>
      </w:pPr>
      <w:r w:rsidRPr="00DE6AF1">
        <w:rPr>
          <w:rFonts w:ascii="Verdana" w:eastAsia="Times New Roman" w:hAnsi="Verdana" w:cs="Times New Roman"/>
          <w:sz w:val="24"/>
          <w:szCs w:val="24"/>
          <w:lang w:eastAsia="pt-BR"/>
        </w:rPr>
        <w:t>Diante do exposto, solicito recurso à análise efetuada e estou à disposição para ulteriores esclarecimentos.</w:t>
      </w:r>
      <w:r>
        <w:rPr>
          <w:rFonts w:ascii="Verdana" w:eastAsia="Times New Roman" w:hAnsi="Verdana" w:cs="Times New Roman"/>
          <w:sz w:val="24"/>
          <w:szCs w:val="24"/>
          <w:lang w:eastAsia="pt-BR"/>
        </w:rPr>
        <w:t xml:space="preserve"> </w:t>
      </w:r>
    </w:p>
    <w:p w:rsidR="00282065" w:rsidRDefault="00282065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sz w:val="24"/>
          <w:szCs w:val="24"/>
          <w:lang w:eastAsia="pt-BR"/>
        </w:rPr>
      </w:pPr>
    </w:p>
    <w:p w:rsidR="00282065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b/>
          <w:sz w:val="24"/>
          <w:szCs w:val="24"/>
          <w:lang w:eastAsia="pt-BR"/>
        </w:rPr>
      </w:pPr>
      <w:r>
        <w:rPr>
          <w:rFonts w:ascii="Verdana" w:eastAsia="Times New Roman" w:hAnsi="Verdana" w:cs="Times New Roman"/>
          <w:b/>
          <w:sz w:val="24"/>
          <w:szCs w:val="24"/>
          <w:lang w:eastAsia="pt-BR"/>
        </w:rPr>
        <w:t>Referências</w:t>
      </w:r>
    </w:p>
    <w:p w:rsidR="00282065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sz w:val="24"/>
          <w:szCs w:val="24"/>
          <w:lang w:eastAsia="pt-BR"/>
        </w:rPr>
      </w:pPr>
      <w:r>
        <w:rPr>
          <w:rFonts w:ascii="Verdana" w:eastAsia="Times New Roman" w:hAnsi="Verdana" w:cs="Times New Roman"/>
          <w:sz w:val="24"/>
          <w:szCs w:val="24"/>
          <w:lang w:eastAsia="pt-BR"/>
        </w:rPr>
        <w:t xml:space="preserve">Silva OD. O que é extensão universitária? </w:t>
      </w:r>
      <w:proofErr w:type="spellStart"/>
      <w:r>
        <w:rPr>
          <w:rFonts w:ascii="Verdana" w:eastAsia="Times New Roman" w:hAnsi="Verdana" w:cs="Times New Roman"/>
          <w:sz w:val="24"/>
          <w:szCs w:val="24"/>
          <w:lang w:eastAsia="pt-BR"/>
        </w:rPr>
        <w:t>Rev</w:t>
      </w:r>
      <w:proofErr w:type="spellEnd"/>
      <w:r>
        <w:rPr>
          <w:rFonts w:ascii="Verdana" w:eastAsia="Times New Roman" w:hAnsi="Verdana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  <w:lang w:eastAsia="pt-BR"/>
        </w:rPr>
        <w:t>Integ</w:t>
      </w:r>
      <w:proofErr w:type="spellEnd"/>
      <w:r>
        <w:rPr>
          <w:rFonts w:ascii="Verdana" w:eastAsia="Times New Roman" w:hAnsi="Verdana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  <w:lang w:eastAsia="pt-BR"/>
        </w:rPr>
        <w:t>Ens</w:t>
      </w:r>
      <w:proofErr w:type="spellEnd"/>
      <w:r>
        <w:rPr>
          <w:rFonts w:ascii="Verdana" w:eastAsia="Times New Roman" w:hAnsi="Verdana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  <w:lang w:eastAsia="pt-BR"/>
        </w:rPr>
        <w:t>Pesq</w:t>
      </w:r>
      <w:proofErr w:type="spellEnd"/>
      <w:r>
        <w:rPr>
          <w:rFonts w:ascii="Verdana" w:eastAsia="Times New Roman" w:hAnsi="Verdana" w:cs="Times New Roman"/>
          <w:sz w:val="24"/>
          <w:szCs w:val="24"/>
          <w:lang w:eastAsia="pt-BR"/>
        </w:rPr>
        <w:t xml:space="preserve"> Ext. </w:t>
      </w:r>
      <w:r>
        <w:rPr>
          <w:rFonts w:ascii="Verdana" w:eastAsia="Times New Roman" w:hAnsi="Verdana" w:cs="Times New Roman"/>
          <w:sz w:val="24"/>
          <w:szCs w:val="24"/>
          <w:lang w:eastAsia="pt-BR"/>
        </w:rPr>
        <w:t>1997; 3:148-9.</w:t>
      </w:r>
    </w:p>
    <w:p w:rsidR="00282065" w:rsidRDefault="00DE6AF1">
      <w:pPr>
        <w:shd w:val="clear" w:color="auto" w:fill="FFFFFF"/>
        <w:spacing w:before="240" w:line="360" w:lineRule="auto"/>
        <w:jc w:val="both"/>
        <w:rPr>
          <w:rFonts w:ascii="Verdana" w:eastAsia="Times New Roman" w:hAnsi="Verdana" w:cs="Times New Roman"/>
          <w:sz w:val="24"/>
          <w:szCs w:val="24"/>
          <w:lang w:eastAsia="pt-BR"/>
        </w:rPr>
      </w:pPr>
      <w:r>
        <w:rPr>
          <w:rFonts w:ascii="Verdana" w:eastAsia="Times New Roman" w:hAnsi="Verdana" w:cs="Times New Roman"/>
          <w:sz w:val="24"/>
          <w:szCs w:val="24"/>
          <w:lang w:eastAsia="pt-BR"/>
        </w:rPr>
        <w:t xml:space="preserve">MEC- CONSELHO NACIONAL DE EDUCAÇÃO. Resolução Nº 7, de 18 de dezembro de 2018. </w:t>
      </w:r>
      <w:proofErr w:type="spellStart"/>
      <w:r>
        <w:rPr>
          <w:rFonts w:ascii="Verdana" w:eastAsia="Times New Roman" w:hAnsi="Verdana" w:cs="Times New Roman"/>
          <w:sz w:val="24"/>
          <w:szCs w:val="24"/>
          <w:lang w:eastAsia="pt-BR"/>
        </w:rPr>
        <w:t>Disponivel</w:t>
      </w:r>
      <w:proofErr w:type="spellEnd"/>
      <w:r>
        <w:rPr>
          <w:rFonts w:ascii="Verdana" w:eastAsia="Times New Roman" w:hAnsi="Verdana" w:cs="Times New Roman"/>
          <w:sz w:val="24"/>
          <w:szCs w:val="24"/>
          <w:lang w:eastAsia="pt-BR"/>
        </w:rPr>
        <w:t xml:space="preserve"> em: &lt;</w:t>
      </w:r>
      <w:hyperlink r:id="rId5" w:history="1">
        <w:r>
          <w:rPr>
            <w:rFonts w:ascii="Verdana" w:eastAsia="Times New Roman" w:hAnsi="Verdana" w:cs="Times New Roman"/>
            <w:sz w:val="24"/>
            <w:szCs w:val="24"/>
            <w:lang w:eastAsia="pt-BR"/>
          </w:rPr>
          <w:t>http://portal.mec.gov.br/index.php?option=com_docman&amp;view=download&amp;alias=104251-rces007-18&amp;category_slug=dezembro-2018-pdf&amp;Itemid=30192</w:t>
        </w:r>
      </w:hyperlink>
      <w:r>
        <w:rPr>
          <w:rFonts w:ascii="Verdana" w:eastAsia="Times New Roman" w:hAnsi="Verdana" w:cs="Times New Roman"/>
          <w:sz w:val="24"/>
          <w:szCs w:val="24"/>
          <w:lang w:eastAsia="pt-BR"/>
        </w:rPr>
        <w:t>&gt;. Acesso em: 20 dez. 2019.</w:t>
      </w:r>
    </w:p>
    <w:sectPr w:rsidR="002820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EB1"/>
    <w:rsid w:val="00023F04"/>
    <w:rsid w:val="00073E34"/>
    <w:rsid w:val="00282065"/>
    <w:rsid w:val="002E5A04"/>
    <w:rsid w:val="00410C2F"/>
    <w:rsid w:val="00466E91"/>
    <w:rsid w:val="00473F89"/>
    <w:rsid w:val="005C7880"/>
    <w:rsid w:val="00671048"/>
    <w:rsid w:val="006B383B"/>
    <w:rsid w:val="00701B8C"/>
    <w:rsid w:val="007F5865"/>
    <w:rsid w:val="008D066E"/>
    <w:rsid w:val="009C2908"/>
    <w:rsid w:val="009C5788"/>
    <w:rsid w:val="009E708F"/>
    <w:rsid w:val="00B55875"/>
    <w:rsid w:val="00CB15B4"/>
    <w:rsid w:val="00DA6EB1"/>
    <w:rsid w:val="00DE6AF1"/>
    <w:rsid w:val="00EA5B02"/>
    <w:rsid w:val="00EC6B0A"/>
    <w:rsid w:val="00F416C0"/>
    <w:rsid w:val="7CAFE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74F5E"/>
  <w15:docId w15:val="{EB3AC596-9338-473E-989F-990432113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character" w:styleId="Forte">
    <w:name w:val="Strong"/>
    <w:basedOn w:val="Fontepargpadro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portal.mec.gov.br/index.php?option=com_docman&amp;view=download&amp;alias=104251-rces007-18&amp;category_slug=dezembro-2018-pdf&amp;Itemid=3019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988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GRACE BARROS</dc:creator>
  <cp:lastModifiedBy>VIRGINIA GRACE BARROS</cp:lastModifiedBy>
  <cp:revision>2</cp:revision>
  <dcterms:created xsi:type="dcterms:W3CDTF">2020-01-21T18:17:00Z</dcterms:created>
  <dcterms:modified xsi:type="dcterms:W3CDTF">2020-01-21T18:17:00Z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1033-11.1.0.8722</vt:lpwstr>
  </property>
</Properties>
</file>