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21FD5040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0D6D2E" w:rsidRPr="000D6D2E">
            <w:rPr>
              <w:rFonts w:eastAsia="Calibri" w:cstheme="minorHAnsi"/>
              <w:sz w:val="24"/>
              <w:szCs w:val="24"/>
            </w:rPr>
            <w:t>RODRIGO FIGUEIREDO TEREZO</w:t>
          </w:r>
        </w:sdtContent>
      </w:sdt>
    </w:p>
    <w:p w14:paraId="30360E86" w14:textId="299DF04A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0D6D2E">
            <w:rPr>
              <w:rFonts w:eastAsia="Calibri" w:cstheme="minorHAnsi"/>
              <w:sz w:val="24"/>
              <w:szCs w:val="24"/>
            </w:rPr>
            <w:t>CAV</w:t>
          </w:r>
        </w:sdtContent>
      </w:sdt>
    </w:p>
    <w:p w14:paraId="24D80472" w14:textId="55BDC11F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0D6D2E">
            <w:rPr>
              <w:rFonts w:eastAsia="Calibri" w:cstheme="minorHAnsi"/>
              <w:sz w:val="24"/>
              <w:szCs w:val="24"/>
            </w:rPr>
            <w:t>Ação Isolada</w:t>
          </w:r>
        </w:sdtContent>
      </w:sdt>
    </w:p>
    <w:p w14:paraId="0E2F541F" w14:textId="3373EE9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r w:rsidR="000D6D2E">
        <w:rPr>
          <w:rFonts w:ascii="Helvetica" w:hAnsi="Helvetica" w:cs="Helvetica"/>
          <w:color w:val="222222"/>
          <w:sz w:val="18"/>
          <w:szCs w:val="18"/>
          <w:shd w:val="clear" w:color="auto" w:fill="F4F5F5"/>
        </w:rPr>
        <w:t> Perícia e recuperação de edificações antigas e contemporâneas em madeira</w:t>
      </w:r>
    </w:p>
    <w:p w14:paraId="48BAE069" w14:textId="0125545B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EB7512">
            <w:rPr>
              <w:rFonts w:eastAsia="Calibri" w:cstheme="minorHAnsi"/>
              <w:sz w:val="24"/>
              <w:szCs w:val="24"/>
            </w:rPr>
            <w:t>Revisor 03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28B31083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A7A24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A2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4F2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4F2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055E8B80" w14:textId="77777777" w:rsidR="00423D84" w:rsidRDefault="007C44C8" w:rsidP="00423D84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p w14:paraId="0AB87B67" w14:textId="5D3CED0A" w:rsidR="00423D84" w:rsidRPr="00423D84" w:rsidRDefault="00423D84" w:rsidP="00423D84">
      <w:pPr>
        <w:rPr>
          <w:rFonts w:eastAsia="Calibri" w:cstheme="minorHAnsi"/>
          <w:sz w:val="24"/>
          <w:szCs w:val="24"/>
        </w:rPr>
      </w:pPr>
      <w:r w:rsidRPr="00423D84">
        <w:rPr>
          <w:rFonts w:eastAsia="Calibri" w:cstheme="minorHAnsi"/>
          <w:sz w:val="24"/>
          <w:szCs w:val="24"/>
        </w:rPr>
        <w:t xml:space="preserve">Considerando o conceito de Extensão Universitária presente na Política de Extensão da </w:t>
      </w:r>
      <w:proofErr w:type="spellStart"/>
      <w:r w:rsidRPr="00423D84">
        <w:rPr>
          <w:rFonts w:eastAsia="Calibri" w:cstheme="minorHAnsi"/>
          <w:sz w:val="24"/>
          <w:szCs w:val="24"/>
        </w:rPr>
        <w:t>Udesc</w:t>
      </w:r>
      <w:proofErr w:type="spellEnd"/>
      <w:r w:rsidRPr="00423D84">
        <w:rPr>
          <w:rFonts w:eastAsia="Calibri" w:cstheme="minorHAnsi"/>
          <w:sz w:val="24"/>
          <w:szCs w:val="24"/>
        </w:rPr>
        <w:t xml:space="preserve">: A extensão universitária é a atividade que se </w:t>
      </w:r>
      <w:r w:rsidRPr="00423D84">
        <w:rPr>
          <w:rFonts w:eastAsia="Calibri" w:cstheme="minorHAnsi"/>
          <w:b/>
          <w:sz w:val="24"/>
          <w:szCs w:val="24"/>
          <w:u w:val="single"/>
        </w:rPr>
        <w:t>integra à matriz</w:t>
      </w:r>
      <w:r w:rsidRPr="00423D84">
        <w:rPr>
          <w:rFonts w:eastAsia="Calibri" w:cstheme="minorHAnsi"/>
          <w:sz w:val="24"/>
          <w:szCs w:val="24"/>
        </w:rPr>
        <w:t xml:space="preserve"> curricular e à </w:t>
      </w:r>
      <w:r w:rsidRPr="00423D84">
        <w:rPr>
          <w:rFonts w:eastAsia="Calibri" w:cstheme="minorHAnsi"/>
          <w:b/>
          <w:sz w:val="24"/>
          <w:szCs w:val="24"/>
          <w:u w:val="single"/>
        </w:rPr>
        <w:t>organização da pesquisa</w:t>
      </w:r>
      <w:r w:rsidRPr="00423D84">
        <w:rPr>
          <w:rFonts w:eastAsia="Calibri" w:cstheme="minorHAnsi"/>
          <w:sz w:val="24"/>
          <w:szCs w:val="24"/>
        </w:rPr>
        <w:t xml:space="preserve">, constituindo-se em </w:t>
      </w:r>
      <w:r w:rsidRPr="00423D84">
        <w:rPr>
          <w:rFonts w:eastAsia="Calibri" w:cstheme="minorHAnsi"/>
          <w:b/>
          <w:sz w:val="24"/>
          <w:szCs w:val="24"/>
          <w:u w:val="single"/>
        </w:rPr>
        <w:t>processo interdisciplinar, político educacional, cultural, científico, tecnológico</w:t>
      </w:r>
      <w:r w:rsidRPr="00423D84">
        <w:rPr>
          <w:rFonts w:eastAsia="Calibri" w:cstheme="minorHAnsi"/>
          <w:sz w:val="24"/>
          <w:szCs w:val="24"/>
        </w:rPr>
        <w:t xml:space="preserve">, que promove </w:t>
      </w:r>
      <w:r w:rsidRPr="00423D84">
        <w:rPr>
          <w:rFonts w:eastAsia="Calibri" w:cstheme="minorHAnsi"/>
          <w:b/>
          <w:sz w:val="24"/>
          <w:szCs w:val="24"/>
          <w:u w:val="single"/>
        </w:rPr>
        <w:t xml:space="preserve">a interação transformadora entre a </w:t>
      </w:r>
      <w:proofErr w:type="spellStart"/>
      <w:r w:rsidRPr="00423D84">
        <w:rPr>
          <w:rFonts w:eastAsia="Calibri" w:cstheme="minorHAnsi"/>
          <w:b/>
          <w:sz w:val="24"/>
          <w:szCs w:val="24"/>
          <w:u w:val="single"/>
        </w:rPr>
        <w:t>Udesc</w:t>
      </w:r>
      <w:proofErr w:type="spellEnd"/>
      <w:r w:rsidRPr="00423D84">
        <w:rPr>
          <w:rFonts w:eastAsia="Calibri" w:cstheme="minorHAnsi"/>
          <w:b/>
          <w:sz w:val="24"/>
          <w:szCs w:val="24"/>
          <w:u w:val="single"/>
        </w:rPr>
        <w:t xml:space="preserve"> e os outros setores da sociedade</w:t>
      </w:r>
      <w:r w:rsidRPr="00423D84">
        <w:rPr>
          <w:rFonts w:eastAsia="Calibri" w:cstheme="minorHAnsi"/>
          <w:sz w:val="24"/>
          <w:szCs w:val="24"/>
        </w:rPr>
        <w:t xml:space="preserve">, por meio da produção e da aplicação do conhecimento, em </w:t>
      </w:r>
      <w:r w:rsidRPr="00423D84">
        <w:rPr>
          <w:rFonts w:eastAsia="Calibri" w:cstheme="minorHAnsi"/>
          <w:b/>
          <w:sz w:val="24"/>
          <w:szCs w:val="24"/>
          <w:u w:val="single"/>
        </w:rPr>
        <w:t>articulação permanente com o ensino e a pesquisa</w:t>
      </w:r>
      <w:r w:rsidRPr="00423D84">
        <w:rPr>
          <w:rFonts w:eastAsia="Calibri" w:cstheme="minorHAnsi"/>
          <w:sz w:val="24"/>
          <w:szCs w:val="24"/>
        </w:rPr>
        <w:t xml:space="preserve">. A proposta de ação </w:t>
      </w:r>
      <w:proofErr w:type="spellStart"/>
      <w:r w:rsidRPr="00423D84">
        <w:rPr>
          <w:rFonts w:eastAsia="Calibri" w:cstheme="minorHAnsi"/>
          <w:sz w:val="24"/>
          <w:szCs w:val="24"/>
        </w:rPr>
        <w:t>extensionista</w:t>
      </w:r>
      <w:proofErr w:type="spellEnd"/>
      <w:r w:rsidRPr="00423D84">
        <w:rPr>
          <w:rFonts w:eastAsia="Calibri" w:cstheme="minorHAnsi"/>
          <w:sz w:val="24"/>
          <w:szCs w:val="24"/>
        </w:rPr>
        <w:t xml:space="preserve"> avaliada atende ao referido conceito de Extensão? </w:t>
      </w:r>
    </w:p>
    <w:p w14:paraId="4993DE5A" w14:textId="77777777" w:rsidR="00423D84" w:rsidRDefault="00423D84" w:rsidP="00423D84">
      <w:pPr>
        <w:pBdr>
          <w:bottom w:val="single" w:sz="12" w:space="1" w:color="auto"/>
        </w:pBdr>
        <w:rPr>
          <w:rFonts w:eastAsia="Calibri" w:cstheme="minorHAnsi"/>
          <w:sz w:val="24"/>
          <w:szCs w:val="24"/>
        </w:rPr>
      </w:pPr>
      <w:r w:rsidRPr="00423D84">
        <w:rPr>
          <w:rFonts w:eastAsia="Calibri" w:cstheme="minorHAnsi"/>
          <w:sz w:val="24"/>
          <w:szCs w:val="24"/>
        </w:rPr>
        <w:t xml:space="preserve">R: </w:t>
      </w:r>
      <w:r w:rsidRPr="00423D84">
        <w:rPr>
          <w:rFonts w:eastAsia="Calibri" w:cstheme="minorHAnsi"/>
          <w:b/>
          <w:sz w:val="24"/>
          <w:szCs w:val="24"/>
        </w:rPr>
        <w:t>Integra à matriz curricular</w:t>
      </w:r>
      <w:r w:rsidRPr="00423D84">
        <w:rPr>
          <w:rFonts w:eastAsia="Calibri" w:cstheme="minorHAnsi"/>
          <w:sz w:val="24"/>
          <w:szCs w:val="24"/>
        </w:rPr>
        <w:t xml:space="preserve"> – Disciplinas de Expressão Gráfica, Construções Rurais e Estruturas de Madeira. </w:t>
      </w:r>
      <w:r w:rsidRPr="00423D84">
        <w:rPr>
          <w:rFonts w:eastAsia="Calibri" w:cstheme="minorHAnsi"/>
          <w:b/>
          <w:sz w:val="24"/>
          <w:szCs w:val="24"/>
        </w:rPr>
        <w:t>Organização da pesquisa</w:t>
      </w:r>
      <w:r w:rsidRPr="00423D84">
        <w:rPr>
          <w:rFonts w:eastAsia="Calibri" w:cstheme="minorHAnsi"/>
          <w:sz w:val="24"/>
          <w:szCs w:val="24"/>
        </w:rPr>
        <w:t xml:space="preserve"> – Aplicação de metodologia científica forense nas perícias das construções em madeira. </w:t>
      </w:r>
      <w:r w:rsidRPr="00423D84">
        <w:rPr>
          <w:rFonts w:eastAsia="Calibri" w:cstheme="minorHAnsi"/>
          <w:b/>
          <w:sz w:val="24"/>
          <w:szCs w:val="24"/>
        </w:rPr>
        <w:t>Processo interdisciplinar</w:t>
      </w:r>
      <w:r w:rsidRPr="00423D84">
        <w:rPr>
          <w:rFonts w:eastAsia="Calibri" w:cstheme="minorHAnsi"/>
          <w:sz w:val="24"/>
          <w:szCs w:val="24"/>
        </w:rPr>
        <w:t xml:space="preserve"> – Professores de Engenharia Agrícola, Civil e Arquitetura, bem como médica veterinária da CIDASC. </w:t>
      </w:r>
      <w:r w:rsidRPr="00423D84">
        <w:rPr>
          <w:rFonts w:eastAsia="Calibri" w:cstheme="minorHAnsi"/>
          <w:b/>
          <w:sz w:val="24"/>
          <w:szCs w:val="24"/>
        </w:rPr>
        <w:t>Político educacional</w:t>
      </w:r>
      <w:r w:rsidRPr="00423D84">
        <w:rPr>
          <w:rFonts w:eastAsia="Calibri" w:cstheme="minorHAnsi"/>
          <w:sz w:val="24"/>
          <w:szCs w:val="24"/>
        </w:rPr>
        <w:t xml:space="preserve"> – Envolvimento de aluno bolsista voluntário e alunos das referidas disciplinas supracitadas. </w:t>
      </w:r>
      <w:r w:rsidRPr="00423D84">
        <w:rPr>
          <w:rFonts w:eastAsia="Calibri" w:cstheme="minorHAnsi"/>
          <w:b/>
          <w:sz w:val="24"/>
          <w:szCs w:val="24"/>
        </w:rPr>
        <w:t>Cultural, científico, tecnológico</w:t>
      </w:r>
      <w:r w:rsidRPr="00423D84">
        <w:rPr>
          <w:rFonts w:eastAsia="Calibri" w:cstheme="minorHAnsi"/>
          <w:sz w:val="24"/>
          <w:szCs w:val="24"/>
        </w:rPr>
        <w:t xml:space="preserve"> – As construções em madeira são tipologias construtivas culturais no Estado de Santa Catarina, sendo aplicada à metodologia científica e tecnológica nas perícias. </w:t>
      </w:r>
      <w:r w:rsidRPr="00423D84">
        <w:rPr>
          <w:rFonts w:eastAsia="Calibri" w:cstheme="minorHAnsi"/>
          <w:b/>
          <w:sz w:val="24"/>
          <w:szCs w:val="24"/>
        </w:rPr>
        <w:t xml:space="preserve">Interação transformadora entre a </w:t>
      </w:r>
      <w:proofErr w:type="spellStart"/>
      <w:r w:rsidRPr="00423D84">
        <w:rPr>
          <w:rFonts w:eastAsia="Calibri" w:cstheme="minorHAnsi"/>
          <w:b/>
          <w:sz w:val="24"/>
          <w:szCs w:val="24"/>
        </w:rPr>
        <w:t>Udesc</w:t>
      </w:r>
      <w:proofErr w:type="spellEnd"/>
      <w:r w:rsidRPr="00423D84">
        <w:rPr>
          <w:rFonts w:eastAsia="Calibri" w:cstheme="minorHAnsi"/>
          <w:b/>
          <w:sz w:val="24"/>
          <w:szCs w:val="24"/>
        </w:rPr>
        <w:t xml:space="preserve"> e os outros setores da sociedade, por meio da produção e da aplicação do conhecimento</w:t>
      </w:r>
      <w:r w:rsidRPr="00423D84">
        <w:rPr>
          <w:rFonts w:eastAsia="Calibri" w:cstheme="minorHAnsi"/>
          <w:sz w:val="24"/>
          <w:szCs w:val="24"/>
        </w:rPr>
        <w:t xml:space="preserve"> – Instituto Federal Catarinense (IFC) representando a classe do ensino médio, CIDASC representando o setor de inspeção sanitária do Estado, UFSC representando o setor de ensino superior, pesquisa e extensão universitária</w:t>
      </w:r>
      <w:r w:rsidRPr="00423D84">
        <w:rPr>
          <w:rFonts w:eastAsia="Calibri" w:cstheme="minorHAnsi"/>
          <w:b/>
          <w:sz w:val="24"/>
          <w:szCs w:val="24"/>
        </w:rPr>
        <w:t>. Articulação permanente com o ensino e a pesquisa</w:t>
      </w:r>
      <w:r w:rsidRPr="00423D84">
        <w:rPr>
          <w:rFonts w:eastAsia="Calibri" w:cstheme="minorHAnsi"/>
          <w:sz w:val="24"/>
          <w:szCs w:val="24"/>
        </w:rPr>
        <w:t xml:space="preserve"> – projeto em permanente atividade com as disciplinas supracitadas e também com os projetos de pesquisa na área de estruturas em madeira do CAV/UDESC. </w:t>
      </w:r>
    </w:p>
    <w:p w14:paraId="7FAE8BB4" w14:textId="396962B4" w:rsidR="00EB7512" w:rsidRPr="00EB7512" w:rsidRDefault="00423D84" w:rsidP="00EB7512">
      <w:pPr>
        <w:pBdr>
          <w:bottom w:val="single" w:sz="12" w:space="1" w:color="auto"/>
        </w:pBdr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Por meio destes argumentos integrados entre o conceito de Extensão da UDESC e a proposta de projeto de extensão, solicita-se a reconsideração deste parecer.</w:t>
      </w: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D1077B" w14:textId="77777777" w:rsidR="00317A10" w:rsidRDefault="00317A10">
      <w:pPr>
        <w:spacing w:after="0" w:line="240" w:lineRule="auto"/>
      </w:pPr>
      <w:r>
        <w:separator/>
      </w:r>
    </w:p>
  </w:endnote>
  <w:endnote w:type="continuationSeparator" w:id="0">
    <w:p w14:paraId="78087774" w14:textId="77777777" w:rsidR="00317A10" w:rsidRDefault="00317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791131" w14:textId="77777777" w:rsidR="00317A10" w:rsidRDefault="00317A10">
      <w:pPr>
        <w:spacing w:after="0" w:line="240" w:lineRule="auto"/>
      </w:pPr>
      <w:r>
        <w:separator/>
      </w:r>
    </w:p>
  </w:footnote>
  <w:footnote w:type="continuationSeparator" w:id="0">
    <w:p w14:paraId="21BFA2F0" w14:textId="77777777" w:rsidR="00317A10" w:rsidRDefault="00317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317A10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27E97"/>
    <w:rsid w:val="000D68E8"/>
    <w:rsid w:val="000D6D2E"/>
    <w:rsid w:val="00143483"/>
    <w:rsid w:val="001A5DBB"/>
    <w:rsid w:val="001A67F0"/>
    <w:rsid w:val="001A7A24"/>
    <w:rsid w:val="00276C89"/>
    <w:rsid w:val="002A4CD2"/>
    <w:rsid w:val="00317A10"/>
    <w:rsid w:val="00370736"/>
    <w:rsid w:val="003B72D4"/>
    <w:rsid w:val="00423D84"/>
    <w:rsid w:val="00493FA9"/>
    <w:rsid w:val="004A3D85"/>
    <w:rsid w:val="004D6CC7"/>
    <w:rsid w:val="00506594"/>
    <w:rsid w:val="00512C4D"/>
    <w:rsid w:val="005F3436"/>
    <w:rsid w:val="005F6BE8"/>
    <w:rsid w:val="00695A51"/>
    <w:rsid w:val="006B594C"/>
    <w:rsid w:val="00726B97"/>
    <w:rsid w:val="007C44C8"/>
    <w:rsid w:val="008B458A"/>
    <w:rsid w:val="009D352C"/>
    <w:rsid w:val="00A44AD9"/>
    <w:rsid w:val="00B61B47"/>
    <w:rsid w:val="00B84360"/>
    <w:rsid w:val="00CA0EBD"/>
    <w:rsid w:val="00CB6302"/>
    <w:rsid w:val="00D96FE2"/>
    <w:rsid w:val="00DC7419"/>
    <w:rsid w:val="00DD3948"/>
    <w:rsid w:val="00DE4F24"/>
    <w:rsid w:val="00E04D28"/>
    <w:rsid w:val="00E83F9A"/>
    <w:rsid w:val="00E86841"/>
    <w:rsid w:val="00EB14E1"/>
    <w:rsid w:val="00EB7512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415F92"/>
    <w:rsid w:val="00772B1D"/>
    <w:rsid w:val="00894B1D"/>
    <w:rsid w:val="00D429BA"/>
    <w:rsid w:val="00DA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419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RODRIGO FIGUEIREDO TEREZO</cp:lastModifiedBy>
  <cp:revision>2</cp:revision>
  <cp:lastPrinted>2019-12-18T15:10:00Z</cp:lastPrinted>
  <dcterms:created xsi:type="dcterms:W3CDTF">2019-12-18T17:08:00Z</dcterms:created>
  <dcterms:modified xsi:type="dcterms:W3CDTF">2019-12-18T17:08:00Z</dcterms:modified>
</cp:coreProperties>
</file>