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1C2" w:rsidRDefault="007E71C2" w:rsidP="007E71C2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7E71C2" w:rsidRDefault="007E71C2" w:rsidP="007E71C2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7E71C2" w:rsidRDefault="007E71C2" w:rsidP="007E71C2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BIOQÍMICA PREVENTIVA</w:t>
      </w:r>
    </w:p>
    <w:p w:rsidR="007E71C2" w:rsidRDefault="007E71C2" w:rsidP="007E71C2">
      <w:pPr>
        <w:spacing w:line="240" w:lineRule="auto"/>
        <w:rPr>
          <w:rFonts w:ascii="Arial" w:hAnsi="Arial" w:cs="Arial"/>
          <w:b/>
          <w:sz w:val="24"/>
        </w:rPr>
      </w:pPr>
    </w:p>
    <w:p w:rsidR="007E71C2" w:rsidRDefault="007E71C2" w:rsidP="007E71C2">
      <w:pPr>
        <w:tabs>
          <w:tab w:val="left" w:pos="6132"/>
        </w:tabs>
        <w:jc w:val="both"/>
        <w:rPr>
          <w:b/>
          <w:sz w:val="24"/>
        </w:rPr>
      </w:pPr>
      <w:r>
        <w:rPr>
          <w:b/>
          <w:sz w:val="24"/>
        </w:rPr>
        <w:tab/>
      </w:r>
    </w:p>
    <w:p w:rsidR="007E71C2" w:rsidRDefault="007E71C2" w:rsidP="007E71C2">
      <w:pPr>
        <w:jc w:val="right"/>
        <w:rPr>
          <w:b/>
          <w:sz w:val="24"/>
        </w:rPr>
      </w:pPr>
      <w:r>
        <w:rPr>
          <w:b/>
          <w:sz w:val="24"/>
        </w:rPr>
        <w:t xml:space="preserve">Monique da Silva </w:t>
      </w:r>
      <w:proofErr w:type="spellStart"/>
      <w:r>
        <w:rPr>
          <w:b/>
          <w:sz w:val="24"/>
        </w:rPr>
        <w:t>Gevaerd</w:t>
      </w:r>
      <w:proofErr w:type="spellEnd"/>
      <w:r>
        <w:rPr>
          <w:b/>
          <w:sz w:val="24"/>
        </w:rPr>
        <w:t xml:space="preserve"> </w:t>
      </w:r>
      <w:proofErr w:type="gramStart"/>
      <w:r>
        <w:rPr>
          <w:b/>
          <w:sz w:val="24"/>
          <w:vertAlign w:val="superscript"/>
        </w:rPr>
        <w:t>1</w:t>
      </w:r>
      <w:proofErr w:type="gramEnd"/>
      <w:r>
        <w:rPr>
          <w:b/>
          <w:sz w:val="24"/>
        </w:rPr>
        <w:t>(Coordenador da ação de extensão)</w:t>
      </w:r>
    </w:p>
    <w:p w:rsidR="007E71C2" w:rsidRDefault="007E71C2" w:rsidP="007E71C2">
      <w:pPr>
        <w:jc w:val="right"/>
        <w:rPr>
          <w:b/>
          <w:sz w:val="24"/>
        </w:rPr>
      </w:pPr>
    </w:p>
    <w:p w:rsidR="007E71C2" w:rsidRDefault="007E71C2" w:rsidP="007E71C2">
      <w:pPr>
        <w:jc w:val="right"/>
        <w:rPr>
          <w:b/>
          <w:sz w:val="24"/>
        </w:rPr>
      </w:pPr>
      <w:r>
        <w:rPr>
          <w:b/>
          <w:sz w:val="24"/>
        </w:rPr>
        <w:t xml:space="preserve">Bruna </w:t>
      </w:r>
      <w:proofErr w:type="spellStart"/>
      <w:r>
        <w:rPr>
          <w:b/>
          <w:sz w:val="24"/>
        </w:rPr>
        <w:t>Kulba</w:t>
      </w:r>
      <w:proofErr w:type="spellEnd"/>
      <w:r>
        <w:rPr>
          <w:b/>
          <w:sz w:val="24"/>
        </w:rPr>
        <w:t xml:space="preserve"> Perboni</w:t>
      </w:r>
      <w:r w:rsidRPr="00263637">
        <w:rPr>
          <w:b/>
          <w:sz w:val="24"/>
          <w:vertAlign w:val="superscript"/>
        </w:rPr>
        <w:t>2</w:t>
      </w:r>
      <w:r>
        <w:rPr>
          <w:b/>
          <w:sz w:val="24"/>
        </w:rPr>
        <w:t>,</w:t>
      </w:r>
      <w:r w:rsidRPr="007E71C2">
        <w:rPr>
          <w:b/>
          <w:sz w:val="24"/>
        </w:rPr>
        <w:t xml:space="preserve"> </w:t>
      </w:r>
      <w:r>
        <w:rPr>
          <w:b/>
          <w:sz w:val="24"/>
        </w:rPr>
        <w:t>Rafaela Affonso Martins</w:t>
      </w:r>
      <w:r w:rsidRPr="00263637">
        <w:rPr>
          <w:b/>
          <w:sz w:val="24"/>
          <w:vertAlign w:val="superscript"/>
        </w:rPr>
        <w:t>2</w:t>
      </w:r>
      <w:r>
        <w:rPr>
          <w:b/>
          <w:sz w:val="24"/>
        </w:rPr>
        <w:t>, Susana Cristina Domenech</w:t>
      </w:r>
      <w:r w:rsidRPr="00263637">
        <w:rPr>
          <w:b/>
          <w:sz w:val="24"/>
          <w:vertAlign w:val="superscript"/>
        </w:rPr>
        <w:t>3</w:t>
      </w:r>
      <w:r>
        <w:rPr>
          <w:b/>
          <w:sz w:val="24"/>
        </w:rPr>
        <w:t xml:space="preserve"> Noé Gomes Borges Júnior</w:t>
      </w:r>
      <w:r w:rsidRPr="00263637">
        <w:rPr>
          <w:b/>
          <w:sz w:val="24"/>
          <w:vertAlign w:val="superscript"/>
        </w:rPr>
        <w:t>3</w:t>
      </w:r>
      <w:r>
        <w:rPr>
          <w:b/>
          <w:sz w:val="24"/>
        </w:rPr>
        <w:t xml:space="preserve"> e Luis Augusto Ramos do Prado</w:t>
      </w:r>
      <w:r w:rsidRPr="00263637">
        <w:rPr>
          <w:b/>
          <w:sz w:val="24"/>
          <w:vertAlign w:val="superscript"/>
        </w:rPr>
        <w:t>4</w:t>
      </w:r>
      <w:r>
        <w:rPr>
          <w:b/>
          <w:sz w:val="24"/>
        </w:rPr>
        <w:t>.</w:t>
      </w:r>
    </w:p>
    <w:p w:rsidR="007E71C2" w:rsidRDefault="007E71C2" w:rsidP="007E71C2">
      <w:pPr>
        <w:jc w:val="both"/>
        <w:rPr>
          <w:b/>
          <w:sz w:val="24"/>
        </w:rPr>
      </w:pPr>
    </w:p>
    <w:p w:rsidR="007E71C2" w:rsidRDefault="007E71C2" w:rsidP="007E71C2">
      <w:pPr>
        <w:jc w:val="both"/>
        <w:rPr>
          <w:sz w:val="24"/>
        </w:rPr>
      </w:pPr>
      <w:proofErr w:type="spellStart"/>
      <w:r>
        <w:rPr>
          <w:b/>
          <w:sz w:val="24"/>
        </w:rPr>
        <w:t>Palavras-chave</w:t>
      </w:r>
      <w:proofErr w:type="spellEnd"/>
      <w:r>
        <w:rPr>
          <w:b/>
          <w:sz w:val="24"/>
        </w:rPr>
        <w:t xml:space="preserve">: </w:t>
      </w:r>
      <w:r w:rsidRPr="00B66406">
        <w:rPr>
          <w:sz w:val="24"/>
        </w:rPr>
        <w:t>Síndrome metabólica</w:t>
      </w:r>
      <w:r w:rsidRPr="001725E6">
        <w:rPr>
          <w:sz w:val="24"/>
        </w:rPr>
        <w:t xml:space="preserve">, </w:t>
      </w:r>
      <w:r>
        <w:rPr>
          <w:sz w:val="24"/>
        </w:rPr>
        <w:t>Prevenção</w:t>
      </w:r>
      <w:r w:rsidRPr="001725E6">
        <w:rPr>
          <w:sz w:val="24"/>
        </w:rPr>
        <w:t xml:space="preserve">, </w:t>
      </w:r>
      <w:r>
        <w:rPr>
          <w:sz w:val="24"/>
        </w:rPr>
        <w:t>Saúde e Qualidade de vida, Extensão Universitária</w:t>
      </w:r>
      <w:r w:rsidRPr="001725E6">
        <w:rPr>
          <w:sz w:val="24"/>
        </w:rPr>
        <w:t>.</w:t>
      </w:r>
    </w:p>
    <w:p w:rsidR="007E71C2" w:rsidRDefault="007E71C2" w:rsidP="007E71C2">
      <w:pPr>
        <w:jc w:val="both"/>
        <w:rPr>
          <w:sz w:val="24"/>
        </w:rPr>
      </w:pPr>
      <w:r>
        <w:rPr>
          <w:b/>
          <w:sz w:val="24"/>
        </w:rPr>
        <w:t>Resumo:</w:t>
      </w:r>
      <w:r>
        <w:rPr>
          <w:sz w:val="24"/>
        </w:rPr>
        <w:t xml:space="preserve"> </w:t>
      </w:r>
    </w:p>
    <w:p w:rsidR="007E71C2" w:rsidRPr="00EC5016" w:rsidRDefault="007E71C2" w:rsidP="007E71C2">
      <w:pPr>
        <w:jc w:val="both"/>
        <w:rPr>
          <w:rFonts w:cs="Arial"/>
          <w:sz w:val="24"/>
          <w:szCs w:val="24"/>
        </w:rPr>
      </w:pPr>
      <w:r w:rsidRPr="00EC5016">
        <w:rPr>
          <w:rFonts w:cs="Arial"/>
          <w:sz w:val="24"/>
          <w:szCs w:val="24"/>
        </w:rPr>
        <w:t xml:space="preserve">O Projeto de Extensão Bioquímica Preventiva desenvolveu ações de prevenção para a Síndrome Metabólica (SM), a qual </w:t>
      </w:r>
      <w:proofErr w:type="gramStart"/>
      <w:r w:rsidRPr="00EC5016">
        <w:rPr>
          <w:rFonts w:cs="Arial"/>
          <w:sz w:val="24"/>
          <w:szCs w:val="24"/>
        </w:rPr>
        <w:t>caracteriza-se</w:t>
      </w:r>
      <w:proofErr w:type="gramEnd"/>
      <w:r w:rsidRPr="00EC5016">
        <w:rPr>
          <w:rFonts w:cs="Arial"/>
          <w:sz w:val="24"/>
          <w:szCs w:val="24"/>
        </w:rPr>
        <w:t xml:space="preserve"> por um conjunto de fatores de risco para o desenvolvimento de complicações cardiovasculares, vasculares periféricas e diabetes, normalmente relacionados à deposição central de gordura e resistência à insulina. Os critérios para o diagnóstico da SM são obesidade abdominal, verificada através da circunferência abdominal (homens &gt; </w:t>
      </w:r>
      <w:proofErr w:type="gramStart"/>
      <w:r w:rsidRPr="00EC5016">
        <w:rPr>
          <w:rFonts w:cs="Arial"/>
          <w:sz w:val="24"/>
          <w:szCs w:val="24"/>
        </w:rPr>
        <w:t>90cm</w:t>
      </w:r>
      <w:proofErr w:type="gramEnd"/>
      <w:r w:rsidRPr="00EC5016">
        <w:rPr>
          <w:rFonts w:cs="Arial"/>
          <w:sz w:val="24"/>
          <w:szCs w:val="24"/>
        </w:rPr>
        <w:t xml:space="preserve"> e mulheres &gt; 80cm) e mais dois dos seguintes fatores: pressão arterial &gt;130mmHg e/ou &gt;85mmHg, glicemia &gt;100mg/dL, triglicerídeos &gt;150mg/dL e </w:t>
      </w:r>
      <w:proofErr w:type="spellStart"/>
      <w:r w:rsidRPr="00EC5016">
        <w:rPr>
          <w:rFonts w:cs="Arial"/>
          <w:sz w:val="24"/>
          <w:szCs w:val="24"/>
        </w:rPr>
        <w:t>HDL-colesterol</w:t>
      </w:r>
      <w:proofErr w:type="spellEnd"/>
      <w:r w:rsidRPr="00EC5016">
        <w:rPr>
          <w:rFonts w:cs="Arial"/>
          <w:sz w:val="24"/>
          <w:szCs w:val="24"/>
        </w:rPr>
        <w:t xml:space="preserve"> nos homens &lt;40mg/dL e nas mulheres &lt;50mg/dL. O projeto Bioquímica Preventiva disponibilizou </w:t>
      </w:r>
      <w:proofErr w:type="gramStart"/>
      <w:r w:rsidRPr="00EC5016">
        <w:rPr>
          <w:rFonts w:cs="Arial"/>
          <w:sz w:val="24"/>
          <w:szCs w:val="24"/>
        </w:rPr>
        <w:t>à</w:t>
      </w:r>
      <w:proofErr w:type="gramEnd"/>
      <w:r w:rsidRPr="00EC5016">
        <w:rPr>
          <w:rFonts w:cs="Arial"/>
          <w:sz w:val="24"/>
          <w:szCs w:val="24"/>
        </w:rPr>
        <w:t xml:space="preserve"> comunidade a oportunidade de realização de avaliações morfofisiológicas (massa, estatura, pressão arterial, circunferência abdominal) e exames laboratoriais específicos (glicose, triglicerídeos, colesterol total, colesterol HDL, colesterol LDL) como parte integrante do diagnóstico da SM, visando a prevenção de complicações decorrentes da doença. Também foram fornecidas orientações sobre hábitos alimentares e prática de atividade física, visando </w:t>
      </w:r>
      <w:proofErr w:type="gramStart"/>
      <w:r w:rsidRPr="00EC5016">
        <w:rPr>
          <w:rFonts w:cs="Arial"/>
          <w:sz w:val="24"/>
          <w:szCs w:val="24"/>
        </w:rPr>
        <w:t>a</w:t>
      </w:r>
      <w:proofErr w:type="gramEnd"/>
      <w:r w:rsidRPr="00EC5016">
        <w:rPr>
          <w:rFonts w:cs="Arial"/>
          <w:sz w:val="24"/>
          <w:szCs w:val="24"/>
        </w:rPr>
        <w:t xml:space="preserve"> conscientização sobre a mudança de estilo de vida.</w:t>
      </w:r>
      <w:r w:rsidRPr="00EC5016">
        <w:rPr>
          <w:rFonts w:eastAsia="Times New Roman" w:cs="Arial"/>
          <w:color w:val="000000"/>
          <w:sz w:val="24"/>
          <w:szCs w:val="24"/>
          <w:lang w:eastAsia="pt-BR"/>
        </w:rPr>
        <w:t xml:space="preserve"> </w:t>
      </w:r>
      <w:r w:rsidRPr="00EC5016">
        <w:rPr>
          <w:rFonts w:cs="Arial"/>
          <w:sz w:val="24"/>
          <w:szCs w:val="24"/>
        </w:rPr>
        <w:t xml:space="preserve"> Até o momento, foram atendidos </w:t>
      </w:r>
      <w:r w:rsidRPr="007E71C2">
        <w:rPr>
          <w:rFonts w:cs="Arial"/>
          <w:sz w:val="24"/>
          <w:szCs w:val="24"/>
        </w:rPr>
        <w:t xml:space="preserve">foram atendidos 116 indivíduos com média de 39,2 anos de idade, sendo que 109 (93,96%) eram mulheres e 07 (6,04%) eram homens. Os </w:t>
      </w:r>
      <w:r w:rsidRPr="007E71C2">
        <w:rPr>
          <w:rFonts w:cs="Arial"/>
          <w:sz w:val="24"/>
          <w:szCs w:val="24"/>
        </w:rPr>
        <w:lastRenderedPageBreak/>
        <w:t xml:space="preserve">valores de pressão arterial sistólica e diastólica se mantiveram dentro de parâmetros normais, com os valores médios de: 114,25 ± 13,73 </w:t>
      </w:r>
      <w:proofErr w:type="spellStart"/>
      <w:proofErr w:type="gramStart"/>
      <w:r w:rsidRPr="007E71C2">
        <w:rPr>
          <w:rFonts w:cs="Arial"/>
          <w:sz w:val="24"/>
          <w:szCs w:val="24"/>
        </w:rPr>
        <w:t>mmHg</w:t>
      </w:r>
      <w:proofErr w:type="spellEnd"/>
      <w:proofErr w:type="gramEnd"/>
      <w:r w:rsidRPr="007E71C2">
        <w:rPr>
          <w:rFonts w:cs="Arial"/>
          <w:sz w:val="24"/>
          <w:szCs w:val="24"/>
        </w:rPr>
        <w:t xml:space="preserve"> para a pressão sistólica e de 73,67 ± 8,30 </w:t>
      </w:r>
      <w:proofErr w:type="spellStart"/>
      <w:r w:rsidRPr="007E71C2">
        <w:rPr>
          <w:rFonts w:cs="Arial"/>
          <w:sz w:val="24"/>
          <w:szCs w:val="24"/>
        </w:rPr>
        <w:t>mmHg</w:t>
      </w:r>
      <w:proofErr w:type="spellEnd"/>
      <w:r w:rsidRPr="007E71C2">
        <w:rPr>
          <w:rFonts w:cs="Arial"/>
          <w:sz w:val="24"/>
          <w:szCs w:val="24"/>
        </w:rPr>
        <w:t xml:space="preserve"> para a pressão diastólica. Foi verificado também, que 42 (36,20%) dos indivíduos apresentavam sobrepeso e 52 (44,82%) dos indivíduos apresentaram valores da medida da circunferência abdominal de referência. De todos os participantes avaliados, (61) 52,58% apresentaram variações nos parâmetros bioquímicos, dessas alterações, (30) 49,18% dos indivíduos apresentaram pelo menos um parâmetro alterado, o que caracteriza risco para o desenvolvimento da síndrome metabólica (SM) e o restante, (31) 50,82% dos indivíduos, apareceram com duas ou mais alterações nos parâmetros bioquímicos, caracterizando um possí</w:t>
      </w:r>
      <w:r>
        <w:rPr>
          <w:rFonts w:cs="Arial"/>
          <w:sz w:val="24"/>
          <w:szCs w:val="24"/>
        </w:rPr>
        <w:t>vel diagnóstico de SM</w:t>
      </w:r>
      <w:r w:rsidRPr="00EC5016">
        <w:rPr>
          <w:rFonts w:cs="Arial"/>
          <w:sz w:val="24"/>
          <w:szCs w:val="24"/>
        </w:rPr>
        <w:t xml:space="preserve">.  Esses resultados ratificam as diretrizes e dados publicados pela Organização Mundial de Saúde (OMS) e pela Sociedade Brasileira de Cardiologia (SBC), onde se observam que os maiores riscos associados e com grande impacto no aparecimento da SM sejam marcados pela idade, sexo, pressão arterial, colesterol total, diabetes, </w:t>
      </w:r>
      <w:proofErr w:type="spellStart"/>
      <w:r w:rsidRPr="00EC5016">
        <w:rPr>
          <w:rFonts w:cs="Arial"/>
          <w:sz w:val="24"/>
          <w:szCs w:val="24"/>
        </w:rPr>
        <w:t>HDL-colesterol</w:t>
      </w:r>
      <w:proofErr w:type="spellEnd"/>
      <w:r w:rsidRPr="00EC5016">
        <w:rPr>
          <w:rFonts w:cs="Arial"/>
          <w:sz w:val="24"/>
          <w:szCs w:val="24"/>
        </w:rPr>
        <w:t xml:space="preserve">, sobrepeso ou obesidade; aumentando significativamente o risco de </w:t>
      </w:r>
      <w:proofErr w:type="spellStart"/>
      <w:r w:rsidRPr="00EC5016">
        <w:rPr>
          <w:rFonts w:cs="Arial"/>
          <w:sz w:val="24"/>
          <w:szCs w:val="24"/>
        </w:rPr>
        <w:t>morbimortalidade</w:t>
      </w:r>
      <w:proofErr w:type="spellEnd"/>
      <w:r w:rsidRPr="00EC5016">
        <w:rPr>
          <w:rFonts w:cs="Arial"/>
          <w:sz w:val="24"/>
          <w:szCs w:val="24"/>
        </w:rPr>
        <w:t xml:space="preserve"> cardiovascular. Diante do exposto, evidencia-se a necessidade de mudança de hábitos comportamentais e alimentares visando um estilo de vida mais saudável. Portanto, a implantação de medidas preventivas, através da conscientização da comunidade sobre a importância da realização de exames periódicos, adoção de boa alimentação e prática de atividade física regular, </w:t>
      </w:r>
      <w:proofErr w:type="gramStart"/>
      <w:r w:rsidRPr="00EC5016">
        <w:rPr>
          <w:rFonts w:cs="Arial"/>
          <w:sz w:val="24"/>
          <w:szCs w:val="24"/>
        </w:rPr>
        <w:t>constituem</w:t>
      </w:r>
      <w:proofErr w:type="gramEnd"/>
      <w:r w:rsidRPr="00EC5016">
        <w:rPr>
          <w:rFonts w:cs="Arial"/>
          <w:sz w:val="24"/>
          <w:szCs w:val="24"/>
        </w:rPr>
        <w:t xml:space="preserve"> componentes básicos para a prevenção da SM, podendo reduzir os custos no tratamento, bem como, melhorar qualidade de vida dos indivíduos com SM. Por fim, verificou-se, que as adoções de medidas profiláticas que visem </w:t>
      </w:r>
      <w:proofErr w:type="gramStart"/>
      <w:r w:rsidRPr="00EC5016">
        <w:rPr>
          <w:rFonts w:cs="Arial"/>
          <w:sz w:val="24"/>
          <w:szCs w:val="24"/>
        </w:rPr>
        <w:t>a</w:t>
      </w:r>
      <w:proofErr w:type="gramEnd"/>
      <w:r w:rsidRPr="00EC5016">
        <w:rPr>
          <w:rFonts w:cs="Arial"/>
          <w:sz w:val="24"/>
          <w:szCs w:val="24"/>
        </w:rPr>
        <w:t xml:space="preserve"> prevenção da saúde e manutenção da qualidade de vida permitem que os pacientes mais propensos, possam ter condições de desenvolver um estado geral de saúde adequado, evitando o desenvolvimento de doenças sistêmicas, como a SM.</w:t>
      </w:r>
    </w:p>
    <w:p w:rsidR="007E71C2" w:rsidRPr="001725E6" w:rsidRDefault="007E71C2" w:rsidP="007E71C2">
      <w:pPr>
        <w:jc w:val="both"/>
        <w:rPr>
          <w:sz w:val="24"/>
        </w:rPr>
      </w:pPr>
    </w:p>
    <w:p w:rsidR="007E71C2" w:rsidRDefault="007E71C2" w:rsidP="007E71C2">
      <w:pPr>
        <w:jc w:val="both"/>
        <w:rPr>
          <w:sz w:val="24"/>
        </w:rPr>
      </w:pPr>
      <w:r>
        <w:rPr>
          <w:b/>
          <w:sz w:val="24"/>
        </w:rPr>
        <w:t xml:space="preserve">Referências: </w:t>
      </w:r>
      <w:bookmarkStart w:id="0" w:name="_GoBack"/>
      <w:bookmarkEnd w:id="0"/>
    </w:p>
    <w:p w:rsidR="007E71C2" w:rsidRPr="00473DED" w:rsidRDefault="007E71C2" w:rsidP="007E71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  <w:r w:rsidRPr="00473DED">
        <w:rPr>
          <w:rFonts w:cs="Arial"/>
          <w:sz w:val="20"/>
          <w:szCs w:val="20"/>
        </w:rPr>
        <w:t>Sociedade Brasileira de Cardiologia. I diretriz brasileira de diagnóstico e tratamento da síndrome</w:t>
      </w:r>
      <w:r>
        <w:rPr>
          <w:rFonts w:cs="Arial"/>
          <w:sz w:val="20"/>
          <w:szCs w:val="20"/>
        </w:rPr>
        <w:t xml:space="preserve"> </w:t>
      </w:r>
      <w:r w:rsidRPr="00473DED">
        <w:rPr>
          <w:rFonts w:cs="Arial"/>
          <w:sz w:val="20"/>
          <w:szCs w:val="20"/>
        </w:rPr>
        <w:t>metabólica. Arquivos Brasileiros de Cardiologia. Volume 84, Suplemento I. Abril 2005.</w:t>
      </w:r>
    </w:p>
    <w:p w:rsidR="007E71C2" w:rsidRDefault="007E71C2" w:rsidP="007E71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7E71C2" w:rsidRDefault="007E71C2" w:rsidP="007E71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  <w:r w:rsidRPr="00473DED">
        <w:rPr>
          <w:rFonts w:cs="Arial"/>
          <w:sz w:val="20"/>
          <w:szCs w:val="20"/>
        </w:rPr>
        <w:t>Sociedade Brasileira de Hipertensão, Sociedade Brasileira de Cardiologia, Sociedade Brasileira de</w:t>
      </w:r>
      <w:r>
        <w:rPr>
          <w:rFonts w:cs="Arial"/>
          <w:sz w:val="20"/>
          <w:szCs w:val="20"/>
        </w:rPr>
        <w:t xml:space="preserve"> </w:t>
      </w:r>
      <w:r w:rsidRPr="00473DED">
        <w:rPr>
          <w:rFonts w:cs="Arial"/>
          <w:sz w:val="20"/>
          <w:szCs w:val="20"/>
        </w:rPr>
        <w:t>Endocrinologia e Metabologia, Sociedade Brasileira de Diabetes e Associação Brasileira para Estudos da</w:t>
      </w:r>
      <w:r>
        <w:rPr>
          <w:rFonts w:cs="Arial"/>
          <w:sz w:val="20"/>
          <w:szCs w:val="20"/>
        </w:rPr>
        <w:t xml:space="preserve"> </w:t>
      </w:r>
      <w:r w:rsidRPr="00473DED">
        <w:rPr>
          <w:rFonts w:cs="Arial"/>
          <w:sz w:val="20"/>
          <w:szCs w:val="20"/>
        </w:rPr>
        <w:t>Obesidade, I Diretriz Brasileira de diagnóstico e tratamento da Síndrome Metabólica, Rio de Janeiro,</w:t>
      </w:r>
      <w:r>
        <w:rPr>
          <w:rFonts w:cs="Arial"/>
          <w:sz w:val="20"/>
          <w:szCs w:val="20"/>
        </w:rPr>
        <w:t xml:space="preserve"> </w:t>
      </w:r>
      <w:r w:rsidRPr="00473DED">
        <w:rPr>
          <w:rFonts w:cs="Arial"/>
          <w:sz w:val="20"/>
          <w:szCs w:val="20"/>
        </w:rPr>
        <w:t>agosto 2004.</w:t>
      </w:r>
    </w:p>
    <w:p w:rsidR="007E71C2" w:rsidRDefault="007E71C2" w:rsidP="007E71C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7E71C2" w:rsidRPr="00473DED" w:rsidRDefault="007E71C2" w:rsidP="007E71C2">
      <w:pPr>
        <w:jc w:val="both"/>
        <w:rPr>
          <w:rFonts w:cs="Arial"/>
          <w:sz w:val="20"/>
          <w:szCs w:val="20"/>
        </w:rPr>
      </w:pPr>
      <w:r w:rsidRPr="00473DED">
        <w:rPr>
          <w:rFonts w:cs="Arial"/>
          <w:sz w:val="20"/>
          <w:szCs w:val="20"/>
        </w:rPr>
        <w:lastRenderedPageBreak/>
        <w:t xml:space="preserve">VARELLA, </w:t>
      </w:r>
      <w:proofErr w:type="spellStart"/>
      <w:r w:rsidRPr="00473DED">
        <w:rPr>
          <w:rFonts w:cs="Arial"/>
          <w:sz w:val="20"/>
          <w:szCs w:val="20"/>
        </w:rPr>
        <w:t>Drauzio</w:t>
      </w:r>
      <w:proofErr w:type="spellEnd"/>
      <w:r w:rsidRPr="00473DED">
        <w:rPr>
          <w:rFonts w:cs="Arial"/>
          <w:sz w:val="20"/>
          <w:szCs w:val="20"/>
        </w:rPr>
        <w:t xml:space="preserve">. </w:t>
      </w:r>
      <w:r w:rsidRPr="00473DED">
        <w:rPr>
          <w:rFonts w:cs="Arial"/>
          <w:bCs/>
          <w:sz w:val="20"/>
          <w:szCs w:val="20"/>
        </w:rPr>
        <w:t>Síndrome Metabólica</w:t>
      </w:r>
      <w:r w:rsidRPr="00473DED">
        <w:rPr>
          <w:rFonts w:cs="Arial"/>
          <w:sz w:val="20"/>
          <w:szCs w:val="20"/>
        </w:rPr>
        <w:t>. Doenças e sintomas. Disponível em: http://drauziovarella.com.br/envelhecimento/sindrome-metabolica/. Acesso em: 27 de Agosto de 2014.</w:t>
      </w:r>
    </w:p>
    <w:p w:rsidR="007E71C2" w:rsidRPr="00473DED" w:rsidRDefault="007E71C2" w:rsidP="007E71C2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:rsidR="00EF6BD4" w:rsidRPr="007E71C2" w:rsidRDefault="00EF6BD4" w:rsidP="007E71C2"/>
    <w:sectPr w:rsidR="00EF6BD4" w:rsidRPr="007E71C2" w:rsidSect="00932299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B5F" w:rsidRDefault="004F7B5F" w:rsidP="0090164C">
      <w:pPr>
        <w:spacing w:after="0" w:line="240" w:lineRule="auto"/>
      </w:pPr>
      <w:r>
        <w:separator/>
      </w:r>
    </w:p>
  </w:endnote>
  <w:endnote w:type="continuationSeparator" w:id="0">
    <w:p w:rsidR="004F7B5F" w:rsidRDefault="004F7B5F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B5F" w:rsidRDefault="004F7B5F" w:rsidP="0090164C">
      <w:pPr>
        <w:spacing w:after="0" w:line="240" w:lineRule="auto"/>
      </w:pPr>
      <w:r>
        <w:separator/>
      </w:r>
    </w:p>
  </w:footnote>
  <w:footnote w:type="continuationSeparator" w:id="0">
    <w:p w:rsidR="004F7B5F" w:rsidRDefault="004F7B5F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82544"/>
    <w:rsid w:val="003A27E7"/>
    <w:rsid w:val="004F7B5F"/>
    <w:rsid w:val="007E71C2"/>
    <w:rsid w:val="0090164C"/>
    <w:rsid w:val="00932299"/>
    <w:rsid w:val="00A00EE2"/>
    <w:rsid w:val="00D72872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1C2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E7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1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Nicoli</cp:lastModifiedBy>
  <cp:revision>2</cp:revision>
  <dcterms:created xsi:type="dcterms:W3CDTF">2016-10-28T10:38:00Z</dcterms:created>
  <dcterms:modified xsi:type="dcterms:W3CDTF">2016-10-28T10:38:00Z</dcterms:modified>
</cp:coreProperties>
</file>