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1C3A10" w:rsidP="001C3A10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PRÁTICAS EM SEGURANÇA DOS ALIMENTOS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C67B67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67B67">
        <w:rPr>
          <w:rFonts w:ascii="Arial" w:hAnsi="Arial" w:cs="Arial"/>
          <w:b/>
          <w:sz w:val="24"/>
          <w:szCs w:val="24"/>
        </w:rPr>
        <w:t>Área Temática:</w:t>
      </w:r>
      <w:r w:rsidR="00C67B67" w:rsidRPr="00C67B67">
        <w:rPr>
          <w:rFonts w:ascii="Arial" w:hAnsi="Arial" w:cs="Arial"/>
          <w:b/>
          <w:sz w:val="24"/>
          <w:szCs w:val="24"/>
        </w:rPr>
        <w:t xml:space="preserve"> </w:t>
      </w:r>
      <w:r w:rsidR="00C67B67">
        <w:rPr>
          <w:rFonts w:ascii="Arial" w:hAnsi="Arial" w:cs="Arial"/>
          <w:b/>
          <w:sz w:val="24"/>
          <w:szCs w:val="24"/>
        </w:rPr>
        <w:t>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5D0EDB" w:rsidRDefault="005D0EDB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5D0EDB">
        <w:rPr>
          <w:rFonts w:ascii="Arial" w:hAnsi="Arial" w:cs="Arial"/>
          <w:b/>
          <w:sz w:val="24"/>
          <w:szCs w:val="24"/>
        </w:rPr>
        <w:t>Lucíola Bagatini</w:t>
      </w:r>
      <w:r w:rsidR="0090164C" w:rsidRPr="005D0EDB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5D0EDB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</w:p>
    <w:p w:rsidR="005D0EDB" w:rsidRPr="00D30A95" w:rsidRDefault="00AA07E3" w:rsidP="00AA07E3">
      <w:pPr>
        <w:ind w:left="2410"/>
        <w:jc w:val="both"/>
        <w:rPr>
          <w:rFonts w:ascii="Arial" w:hAnsi="Arial" w:cs="Arial"/>
          <w:b/>
          <w:sz w:val="24"/>
          <w:szCs w:val="24"/>
        </w:rPr>
      </w:pPr>
      <w:r w:rsidRPr="00D30A95">
        <w:rPr>
          <w:rFonts w:ascii="Arial" w:hAnsi="Arial" w:cs="Arial"/>
          <w:b/>
          <w:sz w:val="24"/>
          <w:szCs w:val="24"/>
        </w:rPr>
        <w:t>Darlene Cavalheiro</w:t>
      </w:r>
      <w:r w:rsidR="007A403C" w:rsidRPr="007A403C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D30A95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30A95" w:rsidRPr="00D30A95">
        <w:rPr>
          <w:rFonts w:ascii="Arial" w:hAnsi="Arial" w:cs="Arial"/>
          <w:b/>
          <w:sz w:val="24"/>
          <w:szCs w:val="24"/>
        </w:rPr>
        <w:t>Elisandra</w:t>
      </w:r>
      <w:proofErr w:type="spellEnd"/>
      <w:r w:rsidR="00D30A95" w:rsidRPr="00D30A95">
        <w:rPr>
          <w:rFonts w:ascii="Arial" w:hAnsi="Arial" w:cs="Arial"/>
          <w:b/>
          <w:sz w:val="24"/>
          <w:szCs w:val="24"/>
        </w:rPr>
        <w:t xml:space="preserve"> Rigo</w:t>
      </w:r>
      <w:r w:rsidR="007A403C" w:rsidRPr="007A403C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D30A95" w:rsidRPr="00D30A95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D30A95" w:rsidRPr="00D30A95">
        <w:rPr>
          <w:rFonts w:ascii="Arial" w:hAnsi="Arial" w:cs="Arial"/>
          <w:b/>
          <w:sz w:val="24"/>
          <w:szCs w:val="24"/>
        </w:rPr>
        <w:t>Liziane</w:t>
      </w:r>
      <w:proofErr w:type="spellEnd"/>
      <w:r w:rsidR="00D30A95" w:rsidRPr="00D30A95">
        <w:rPr>
          <w:rFonts w:ascii="Arial" w:hAnsi="Arial" w:cs="Arial"/>
          <w:b/>
          <w:sz w:val="24"/>
          <w:szCs w:val="24"/>
        </w:rPr>
        <w:t xml:space="preserve"> Schittler</w:t>
      </w:r>
      <w:r w:rsidR="007A403C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D30A95" w:rsidRPr="00D30A95">
        <w:rPr>
          <w:rFonts w:ascii="Arial" w:hAnsi="Arial" w:cs="Arial"/>
          <w:b/>
          <w:sz w:val="24"/>
          <w:szCs w:val="24"/>
        </w:rPr>
        <w:t xml:space="preserve">, </w:t>
      </w:r>
      <w:r w:rsidR="006536DE">
        <w:rPr>
          <w:rFonts w:ascii="Arial" w:hAnsi="Arial" w:cs="Arial"/>
          <w:b/>
          <w:sz w:val="24"/>
          <w:szCs w:val="24"/>
        </w:rPr>
        <w:t xml:space="preserve">Andréia </w:t>
      </w:r>
      <w:proofErr w:type="spellStart"/>
      <w:r w:rsidR="006536DE">
        <w:rPr>
          <w:rFonts w:ascii="Arial" w:hAnsi="Arial" w:cs="Arial"/>
          <w:b/>
          <w:sz w:val="24"/>
          <w:szCs w:val="24"/>
        </w:rPr>
        <w:t>Zilio</w:t>
      </w:r>
      <w:proofErr w:type="spellEnd"/>
      <w:r w:rsidR="006536DE">
        <w:rPr>
          <w:rFonts w:ascii="Arial" w:hAnsi="Arial" w:cs="Arial"/>
          <w:b/>
          <w:sz w:val="24"/>
          <w:szCs w:val="24"/>
        </w:rPr>
        <w:t xml:space="preserve"> Dinon</w:t>
      </w:r>
      <w:r w:rsidR="006536DE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6536DE" w:rsidRPr="006536DE">
        <w:rPr>
          <w:rFonts w:ascii="Arial" w:hAnsi="Arial" w:cs="Arial"/>
          <w:b/>
          <w:sz w:val="24"/>
          <w:szCs w:val="24"/>
        </w:rPr>
        <w:t>,</w:t>
      </w:r>
      <w:r w:rsidR="00D30A95" w:rsidRPr="00D30A95">
        <w:rPr>
          <w:rFonts w:ascii="Arial" w:hAnsi="Arial" w:cs="Arial"/>
          <w:b/>
          <w:sz w:val="24"/>
          <w:szCs w:val="24"/>
        </w:rPr>
        <w:t xml:space="preserve"> Bruna Rosalem², Estela Maria Dalmina², </w:t>
      </w:r>
      <w:proofErr w:type="spellStart"/>
      <w:r w:rsidR="00D30A95" w:rsidRPr="00D30A95">
        <w:rPr>
          <w:rFonts w:ascii="Arial" w:hAnsi="Arial" w:cs="Arial"/>
          <w:b/>
          <w:sz w:val="24"/>
          <w:szCs w:val="24"/>
        </w:rPr>
        <w:t>Fabiane</w:t>
      </w:r>
      <w:proofErr w:type="spellEnd"/>
      <w:r w:rsidR="00D30A95" w:rsidRPr="00D30A95">
        <w:rPr>
          <w:rFonts w:ascii="Arial" w:hAnsi="Arial" w:cs="Arial"/>
          <w:b/>
          <w:sz w:val="24"/>
          <w:szCs w:val="24"/>
        </w:rPr>
        <w:t xml:space="preserve"> Mores², Gabriela Peretti², Joana Paula Canton², </w:t>
      </w:r>
      <w:proofErr w:type="spellStart"/>
      <w:r w:rsidR="00D57207" w:rsidRPr="00D30A95">
        <w:rPr>
          <w:rFonts w:ascii="Arial" w:hAnsi="Arial" w:cs="Arial"/>
          <w:b/>
          <w:sz w:val="24"/>
          <w:szCs w:val="24"/>
        </w:rPr>
        <w:t>Niqueli</w:t>
      </w:r>
      <w:proofErr w:type="spellEnd"/>
      <w:r w:rsidR="00D57207" w:rsidRPr="00D30A95">
        <w:rPr>
          <w:rFonts w:ascii="Arial" w:hAnsi="Arial" w:cs="Arial"/>
          <w:b/>
          <w:sz w:val="24"/>
          <w:szCs w:val="24"/>
        </w:rPr>
        <w:t xml:space="preserve"> Masiero Barbosa², Priscila Pereira de Souza²</w:t>
      </w:r>
      <w:r w:rsidR="00D57207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D57207" w:rsidRPr="00D30A95">
        <w:rPr>
          <w:rFonts w:ascii="Arial" w:hAnsi="Arial" w:cs="Arial"/>
          <w:b/>
          <w:sz w:val="24"/>
          <w:szCs w:val="24"/>
        </w:rPr>
        <w:t>Adriele</w:t>
      </w:r>
      <w:proofErr w:type="spellEnd"/>
      <w:r w:rsidR="00D57207" w:rsidRPr="00D30A95">
        <w:rPr>
          <w:rFonts w:ascii="Arial" w:hAnsi="Arial" w:cs="Arial"/>
          <w:b/>
          <w:sz w:val="24"/>
          <w:szCs w:val="24"/>
        </w:rPr>
        <w:t xml:space="preserve"> Scalon</w:t>
      </w:r>
      <w:r w:rsidR="00D57207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D57207" w:rsidRPr="00D57207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D30A95" w:rsidRPr="00D30A95">
        <w:rPr>
          <w:rFonts w:ascii="Arial" w:hAnsi="Arial" w:cs="Arial"/>
          <w:b/>
          <w:sz w:val="24"/>
          <w:szCs w:val="24"/>
        </w:rPr>
        <w:t>Maiara</w:t>
      </w:r>
      <w:proofErr w:type="spellEnd"/>
      <w:r w:rsidR="00D30A95" w:rsidRPr="00D30A95">
        <w:rPr>
          <w:rFonts w:ascii="Arial" w:hAnsi="Arial" w:cs="Arial"/>
          <w:b/>
          <w:sz w:val="24"/>
          <w:szCs w:val="24"/>
        </w:rPr>
        <w:t xml:space="preserve"> Norma Spiecker</w:t>
      </w:r>
      <w:r w:rsidR="007A403C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D57207">
        <w:rPr>
          <w:rFonts w:ascii="Arial" w:hAnsi="Arial" w:cs="Arial"/>
          <w:b/>
          <w:sz w:val="24"/>
          <w:szCs w:val="24"/>
        </w:rPr>
        <w:t>.</w:t>
      </w:r>
      <w:r w:rsidR="00D30A95" w:rsidRPr="00D30A95">
        <w:rPr>
          <w:rFonts w:ascii="Arial" w:hAnsi="Arial" w:cs="Arial"/>
          <w:b/>
          <w:sz w:val="24"/>
          <w:szCs w:val="24"/>
        </w:rPr>
        <w:t xml:space="preserve"> </w:t>
      </w:r>
    </w:p>
    <w:p w:rsidR="007A403C" w:rsidRDefault="007A403C" w:rsidP="005D0EDB">
      <w:pPr>
        <w:rPr>
          <w:rFonts w:ascii="Arial" w:hAnsi="Arial" w:cs="Arial"/>
          <w:b/>
          <w:sz w:val="24"/>
          <w:szCs w:val="24"/>
        </w:rPr>
      </w:pPr>
    </w:p>
    <w:p w:rsidR="005D0EDB" w:rsidRPr="005D0EDB" w:rsidRDefault="0090164C" w:rsidP="005D0EDB">
      <w:pPr>
        <w:rPr>
          <w:rFonts w:ascii="Arial" w:hAnsi="Arial" w:cs="Arial"/>
          <w:i/>
          <w:sz w:val="24"/>
          <w:szCs w:val="24"/>
        </w:rPr>
      </w:pPr>
      <w:r w:rsidRPr="005D0EDB">
        <w:rPr>
          <w:rFonts w:ascii="Arial" w:hAnsi="Arial" w:cs="Arial"/>
          <w:b/>
          <w:sz w:val="24"/>
          <w:szCs w:val="24"/>
        </w:rPr>
        <w:t>Resumo:</w:t>
      </w:r>
      <w:r w:rsidR="005D0EDB" w:rsidRPr="005D0EDB">
        <w:rPr>
          <w:rFonts w:ascii="Arial" w:hAnsi="Arial" w:cs="Arial"/>
          <w:b/>
          <w:sz w:val="24"/>
          <w:szCs w:val="24"/>
        </w:rPr>
        <w:t xml:space="preserve"> </w:t>
      </w:r>
    </w:p>
    <w:p w:rsidR="001C3A10" w:rsidRPr="00C90E38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D0EDB">
        <w:rPr>
          <w:rFonts w:ascii="Arial" w:hAnsi="Arial" w:cs="Arial"/>
          <w:color w:val="000000"/>
          <w:sz w:val="24"/>
          <w:szCs w:val="24"/>
        </w:rPr>
        <w:t>O conceito de Segurança Alimentar considera a quantidade, a qualidade e a regularidade no acesso aos alimentos</w:t>
      </w:r>
      <w:r>
        <w:rPr>
          <w:rFonts w:ascii="Arial" w:hAnsi="Arial" w:cs="Arial"/>
          <w:color w:val="000000"/>
          <w:sz w:val="24"/>
          <w:szCs w:val="24"/>
        </w:rPr>
        <w:t>, enquanto profissionais da área, a qualidade dos alimentos é um grande desafio a ser enfrentado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programa de extensão “Praticas em Segurança dos Alimentos” conta com três ações que contemplam a segurança dos alimentos da cadeia produtora de alimentos de Pinhalzinho e região, sendo eles: o “Treinamento para Manipuladores de Alimentos”, o “Alimenta Seguro” (evento) e a “Prestação de Serviços”. </w:t>
      </w:r>
    </w:p>
    <w:p w:rsidR="001C3A10" w:rsidRPr="005D0EDB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D0EDB">
        <w:rPr>
          <w:rFonts w:ascii="Arial" w:hAnsi="Arial" w:cs="Arial"/>
          <w:color w:val="000000"/>
          <w:sz w:val="24"/>
          <w:szCs w:val="24"/>
        </w:rPr>
        <w:tab/>
        <w:t>A ação “Treinamento para Manipuladores de A</w:t>
      </w:r>
      <w:r>
        <w:rPr>
          <w:rFonts w:ascii="Arial" w:hAnsi="Arial" w:cs="Arial"/>
          <w:color w:val="000000"/>
          <w:sz w:val="24"/>
          <w:szCs w:val="24"/>
        </w:rPr>
        <w:t>limentos” teve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como objetivo promover a interação entre a universidade e o setor alimentício nos municípios de Chapecó e de Pinhalzinho</w:t>
      </w:r>
      <w:r>
        <w:rPr>
          <w:rFonts w:ascii="Arial" w:hAnsi="Arial" w:cs="Arial"/>
          <w:color w:val="000000"/>
          <w:sz w:val="24"/>
          <w:szCs w:val="24"/>
        </w:rPr>
        <w:t>, capacitando os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manipuladores de alimentos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. A ação incluiu </w:t>
      </w:r>
      <w:r>
        <w:rPr>
          <w:rFonts w:ascii="Arial" w:hAnsi="Arial" w:cs="Arial"/>
          <w:color w:val="000000"/>
          <w:sz w:val="24"/>
          <w:szCs w:val="24"/>
        </w:rPr>
        <w:t xml:space="preserve">manipuladores de 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entidades vinculadas à assistência social no município de Chapecó, feirantes do setor de panificação, manipuladores de abatedouros, açougues e supermercados fiscalizados pela prefeitura municipal de Chapecó, </w:t>
      </w:r>
      <w:r>
        <w:rPr>
          <w:rFonts w:ascii="Arial" w:hAnsi="Arial" w:cs="Arial"/>
          <w:color w:val="000000"/>
          <w:sz w:val="24"/>
          <w:szCs w:val="24"/>
        </w:rPr>
        <w:t>e também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colaboradores de empresas </w:t>
      </w:r>
      <w:r>
        <w:rPr>
          <w:rFonts w:ascii="Arial" w:hAnsi="Arial" w:cs="Arial"/>
          <w:color w:val="000000"/>
          <w:sz w:val="24"/>
          <w:szCs w:val="24"/>
        </w:rPr>
        <w:t xml:space="preserve">de Pinhalzinho </w:t>
      </w:r>
      <w:r w:rsidRPr="005D0EDB">
        <w:rPr>
          <w:rFonts w:ascii="Arial" w:hAnsi="Arial" w:cs="Arial"/>
          <w:color w:val="000000"/>
          <w:sz w:val="24"/>
          <w:szCs w:val="24"/>
        </w:rPr>
        <w:t>integrantes do Núcleo de Alimentação da ACIP (Associação Comercial e Industrial de Pinhalzinho).</w:t>
      </w:r>
    </w:p>
    <w:p w:rsidR="001C3A10" w:rsidRPr="005D0EDB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D0EDB">
        <w:rPr>
          <w:rFonts w:ascii="Arial" w:hAnsi="Arial" w:cs="Arial"/>
          <w:color w:val="000000"/>
          <w:sz w:val="24"/>
          <w:szCs w:val="24"/>
        </w:rPr>
        <w:lastRenderedPageBreak/>
        <w:tab/>
        <w:t>O treinamento consistiu na capacitação dos manipuladores de alimentos em aulas teórica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 w:rsidRPr="005D0EDB">
        <w:rPr>
          <w:rFonts w:ascii="Arial" w:hAnsi="Arial" w:cs="Arial"/>
          <w:color w:val="000000"/>
          <w:sz w:val="24"/>
          <w:szCs w:val="24"/>
        </w:rPr>
        <w:t>e práticas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Para auxiliar no treinamento, </w:t>
      </w:r>
      <w:r>
        <w:rPr>
          <w:rFonts w:ascii="Arial" w:hAnsi="Arial" w:cs="Arial"/>
          <w:color w:val="000000"/>
          <w:sz w:val="24"/>
          <w:szCs w:val="24"/>
        </w:rPr>
        <w:t>foi elaborada uma apostila que foi entregue aos participantes, contendo todos os temas abordados no treinamento, que foram: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Programa 5S, Microbiologia de alimentos, Higiene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do Manipuladore</w:t>
      </w:r>
      <w:r w:rsidR="00D30A95">
        <w:rPr>
          <w:rFonts w:ascii="Arial" w:hAnsi="Arial" w:cs="Arial"/>
          <w:color w:val="000000"/>
          <w:sz w:val="24"/>
          <w:szCs w:val="24"/>
        </w:rPr>
        <w:t>s</w:t>
      </w:r>
      <w:proofErr w:type="gramEnd"/>
      <w:r w:rsidRPr="005D0EDB">
        <w:rPr>
          <w:rFonts w:ascii="Arial" w:hAnsi="Arial" w:cs="Arial"/>
          <w:color w:val="000000"/>
          <w:sz w:val="24"/>
          <w:szCs w:val="24"/>
        </w:rPr>
        <w:t xml:space="preserve">, Higienização de Superfícies e Utensílios, Planilhas, Procedimento Operacional Padronizado e Segurança no Trabalho, contemplando </w:t>
      </w:r>
      <w:r>
        <w:rPr>
          <w:rFonts w:ascii="Arial" w:hAnsi="Arial" w:cs="Arial"/>
          <w:color w:val="000000"/>
          <w:sz w:val="24"/>
          <w:szCs w:val="24"/>
        </w:rPr>
        <w:t xml:space="preserve">ainda </w:t>
      </w:r>
      <w:r w:rsidRPr="005D0EDB">
        <w:rPr>
          <w:rFonts w:ascii="Arial" w:hAnsi="Arial" w:cs="Arial"/>
          <w:color w:val="000000"/>
          <w:sz w:val="24"/>
          <w:szCs w:val="24"/>
        </w:rPr>
        <w:t>as normas de boas práticas de fabricação e seus benefícios para as empresas, as leis e portarias da ANVISA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1C3A10" w:rsidRPr="005D0EDB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D0EDB">
        <w:rPr>
          <w:rFonts w:ascii="Arial" w:hAnsi="Arial" w:cs="Arial"/>
          <w:color w:val="000000"/>
          <w:sz w:val="24"/>
          <w:szCs w:val="24"/>
        </w:rPr>
        <w:tab/>
        <w:t>O “Alimenta Seguro” contemplou a realização de uma palestra por profissional renomado da</w:t>
      </w:r>
      <w:r>
        <w:rPr>
          <w:rFonts w:ascii="Arial" w:hAnsi="Arial" w:cs="Arial"/>
          <w:color w:val="000000"/>
          <w:sz w:val="24"/>
          <w:szCs w:val="24"/>
        </w:rPr>
        <w:t xml:space="preserve"> área de segurança dos alimentos. </w:t>
      </w:r>
      <w:r w:rsidRPr="005D0EDB">
        <w:rPr>
          <w:rFonts w:ascii="Arial" w:hAnsi="Arial" w:cs="Arial"/>
          <w:color w:val="000000"/>
          <w:sz w:val="24"/>
          <w:szCs w:val="24"/>
        </w:rPr>
        <w:t>A quinta edição do evento foi realizada no dia 16 de junho de 2016, no auditório da ACIP – Pinhalzinho/SC, com a palestra “Boas práticas na manipulação de alimentos”, ministrada pela consultora Ivana Prá do SENAI – Chapecó/SC. A divulgação do evento foi realizada por meios d</w:t>
      </w:r>
      <w:r>
        <w:rPr>
          <w:rFonts w:ascii="Arial" w:hAnsi="Arial" w:cs="Arial"/>
          <w:color w:val="000000"/>
          <w:sz w:val="24"/>
          <w:szCs w:val="24"/>
        </w:rPr>
        <w:t>e comunicação como radio e internet, e cartazes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nos estabelecimentos alimentícios da cidade.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C3A10" w:rsidRPr="005D0EDB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D0EDB">
        <w:rPr>
          <w:rFonts w:ascii="Arial" w:hAnsi="Arial" w:cs="Arial"/>
          <w:color w:val="000000"/>
          <w:sz w:val="24"/>
          <w:szCs w:val="24"/>
        </w:rPr>
        <w:tab/>
        <w:t>Segundo a Agência Nacional de Vigilância Sanitária (ANVISA), as Boas Práticas de Fabricação (</w:t>
      </w:r>
      <w:proofErr w:type="spellStart"/>
      <w:r w:rsidRPr="005D0EDB">
        <w:rPr>
          <w:rFonts w:ascii="Arial" w:hAnsi="Arial" w:cs="Arial"/>
          <w:color w:val="000000"/>
          <w:sz w:val="24"/>
          <w:szCs w:val="24"/>
        </w:rPr>
        <w:t>BPF’s</w:t>
      </w:r>
      <w:proofErr w:type="spellEnd"/>
      <w:r w:rsidRPr="005D0EDB">
        <w:rPr>
          <w:rFonts w:ascii="Arial" w:hAnsi="Arial" w:cs="Arial"/>
          <w:color w:val="000000"/>
          <w:sz w:val="24"/>
          <w:szCs w:val="24"/>
        </w:rPr>
        <w:t>) são um conjunto de procedimentos que devem ser seguidos por manipuladores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D0EDB">
        <w:rPr>
          <w:rFonts w:ascii="Arial" w:hAnsi="Arial" w:cs="Arial"/>
          <w:color w:val="000000"/>
          <w:sz w:val="24"/>
          <w:szCs w:val="24"/>
        </w:rPr>
        <w:t>nas indústrias alimentícias e serviços de alimentação, de forma a garantir a integridade e segurança do produto final. Estes</w:t>
      </w:r>
      <w:r>
        <w:rPr>
          <w:rFonts w:ascii="Arial" w:hAnsi="Arial" w:cs="Arial"/>
          <w:color w:val="000000"/>
          <w:sz w:val="24"/>
          <w:szCs w:val="24"/>
        </w:rPr>
        <w:t xml:space="preserve"> procedimentos abrangem toda a cadeia produtiva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. Desta forma, a ação “Prestação de Serviços” teve como objetivo a implantação das </w:t>
      </w:r>
      <w:proofErr w:type="spellStart"/>
      <w:r w:rsidRPr="005D0EDB">
        <w:rPr>
          <w:rFonts w:ascii="Arial" w:hAnsi="Arial" w:cs="Arial"/>
          <w:color w:val="000000"/>
          <w:sz w:val="24"/>
          <w:szCs w:val="24"/>
        </w:rPr>
        <w:t>BPF’s</w:t>
      </w:r>
      <w:proofErr w:type="spellEnd"/>
      <w:r w:rsidRPr="005D0EDB">
        <w:rPr>
          <w:rFonts w:ascii="Arial" w:hAnsi="Arial" w:cs="Arial"/>
          <w:color w:val="000000"/>
          <w:sz w:val="24"/>
          <w:szCs w:val="24"/>
        </w:rPr>
        <w:t xml:space="preserve"> em estabe</w:t>
      </w:r>
      <w:r>
        <w:rPr>
          <w:rFonts w:ascii="Arial" w:hAnsi="Arial" w:cs="Arial"/>
          <w:color w:val="000000"/>
          <w:sz w:val="24"/>
          <w:szCs w:val="24"/>
        </w:rPr>
        <w:t xml:space="preserve">lecimentos do ramo alimentício, em 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Pinhalzinho. A ação se dá por visitas semanais </w:t>
      </w:r>
      <w:r>
        <w:rPr>
          <w:rFonts w:ascii="Arial" w:hAnsi="Arial" w:cs="Arial"/>
          <w:color w:val="000000"/>
          <w:sz w:val="24"/>
          <w:szCs w:val="24"/>
        </w:rPr>
        <w:t>aos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estabel</w:t>
      </w:r>
      <w:r>
        <w:rPr>
          <w:rFonts w:ascii="Arial" w:hAnsi="Arial" w:cs="Arial"/>
          <w:color w:val="000000"/>
          <w:sz w:val="24"/>
          <w:szCs w:val="24"/>
        </w:rPr>
        <w:t>ecimentos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. A partir das visitas aplicou-se um </w:t>
      </w:r>
      <w:proofErr w:type="spellStart"/>
      <w:r w:rsidRPr="005D0EDB">
        <w:rPr>
          <w:rFonts w:ascii="Arial" w:hAnsi="Arial" w:cs="Arial"/>
          <w:i/>
          <w:color w:val="000000"/>
          <w:sz w:val="24"/>
          <w:szCs w:val="24"/>
        </w:rPr>
        <w:t>check-list</w:t>
      </w:r>
      <w:proofErr w:type="spellEnd"/>
      <w:r w:rsidRPr="005D0EDB">
        <w:rPr>
          <w:rFonts w:ascii="Arial" w:hAnsi="Arial" w:cs="Arial"/>
          <w:color w:val="000000"/>
          <w:sz w:val="24"/>
          <w:szCs w:val="24"/>
        </w:rPr>
        <w:t xml:space="preserve"> seguindo a RDC nº 216 e RDC nº 275. Em seguida preparou-se um relatório de conformidades e não conformidades, o qual foi apresentado às empresas para </w:t>
      </w:r>
      <w:r>
        <w:rPr>
          <w:rFonts w:ascii="Arial" w:hAnsi="Arial" w:cs="Arial"/>
          <w:color w:val="000000"/>
          <w:sz w:val="24"/>
          <w:szCs w:val="24"/>
        </w:rPr>
        <w:t>as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adequações de acordo com a legislação vigente. </w:t>
      </w:r>
    </w:p>
    <w:p w:rsidR="007A403C" w:rsidRDefault="001C3A10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5D0EDB">
        <w:rPr>
          <w:rFonts w:ascii="Arial" w:hAnsi="Arial" w:cs="Arial"/>
          <w:color w:val="000000"/>
          <w:sz w:val="24"/>
          <w:szCs w:val="24"/>
        </w:rPr>
        <w:tab/>
        <w:t>As atividades desenvolvidas no programa de extensão “Práticas em segurança dos alimentos” oportunizaram a disseminação do conhecimento adquirido pelos discentes no decorrer do curso de Engenharia de Alimentos entre os manipuladores de alimentos das empresas parceiras. Além disso, confirmou-se a importância de manter as atividades de capacitação de manipuladores de alimentos, pois estes uma vez capacitados contribuirão para produção de alimentos seguros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7A403C" w:rsidRDefault="007A403C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A403C" w:rsidRDefault="007A403C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A403C" w:rsidRPr="005D0EDB" w:rsidRDefault="007A403C" w:rsidP="001C3A10">
      <w:pPr>
        <w:tabs>
          <w:tab w:val="left" w:pos="28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AA07E3" w:rsidRPr="00AA07E3" w:rsidRDefault="0090164C" w:rsidP="00AA07E3">
      <w:pPr>
        <w:jc w:val="both"/>
        <w:rPr>
          <w:rFonts w:ascii="Arial" w:hAnsi="Arial" w:cs="Arial"/>
          <w:b/>
          <w:sz w:val="24"/>
          <w:szCs w:val="24"/>
        </w:rPr>
      </w:pPr>
      <w:r w:rsidRPr="00AA07E3">
        <w:rPr>
          <w:rFonts w:ascii="Arial" w:hAnsi="Arial" w:cs="Arial"/>
          <w:b/>
          <w:sz w:val="24"/>
          <w:szCs w:val="24"/>
        </w:rPr>
        <w:t xml:space="preserve">Referências: </w:t>
      </w:r>
    </w:p>
    <w:p w:rsidR="00AA07E3" w:rsidRDefault="00AA07E3" w:rsidP="000269A0">
      <w:pPr>
        <w:jc w:val="both"/>
        <w:rPr>
          <w:rFonts w:ascii="Arial" w:hAnsi="Arial" w:cs="Arial"/>
          <w:sz w:val="24"/>
          <w:szCs w:val="24"/>
        </w:rPr>
      </w:pPr>
      <w:r w:rsidRPr="00AA07E3">
        <w:rPr>
          <w:rFonts w:ascii="Arial" w:hAnsi="Arial" w:cs="Arial"/>
          <w:sz w:val="24"/>
          <w:szCs w:val="24"/>
        </w:rPr>
        <w:t>AN</w:t>
      </w:r>
      <w:r w:rsidR="00EE54A2">
        <w:rPr>
          <w:rFonts w:ascii="Arial" w:hAnsi="Arial" w:cs="Arial"/>
          <w:sz w:val="24"/>
          <w:szCs w:val="24"/>
        </w:rPr>
        <w:t>VISA. Boas Prá</w:t>
      </w:r>
      <w:r w:rsidRPr="00AA07E3">
        <w:rPr>
          <w:rFonts w:ascii="Arial" w:hAnsi="Arial" w:cs="Arial"/>
          <w:sz w:val="24"/>
          <w:szCs w:val="24"/>
        </w:rPr>
        <w:t xml:space="preserve">ticas De Fabricação – BPF Informações fornecidas pela Agencia Nacional de Vigilância Sanitária, 2002. Disponível no site. </w:t>
      </w:r>
      <w:hyperlink r:id="rId7" w:history="1">
        <w:r w:rsidRPr="00AA07E3">
          <w:rPr>
            <w:rStyle w:val="Hyperlink"/>
            <w:rFonts w:ascii="Arial" w:hAnsi="Arial" w:cs="Arial"/>
            <w:sz w:val="24"/>
            <w:szCs w:val="24"/>
          </w:rPr>
          <w:t>http://www.anvisa.gov.br/alimentos/bpf.htm</w:t>
        </w:r>
      </w:hyperlink>
    </w:p>
    <w:p w:rsidR="00AA07E3" w:rsidRPr="00AA07E3" w:rsidRDefault="00AA07E3" w:rsidP="000269A0">
      <w:pPr>
        <w:jc w:val="both"/>
        <w:rPr>
          <w:rFonts w:ascii="Arial" w:hAnsi="Arial" w:cs="Arial"/>
          <w:sz w:val="24"/>
          <w:szCs w:val="24"/>
        </w:rPr>
      </w:pPr>
    </w:p>
    <w:p w:rsidR="000269A0" w:rsidRDefault="000269A0" w:rsidP="0090164C">
      <w:pPr>
        <w:jc w:val="both"/>
        <w:rPr>
          <w:rFonts w:ascii="Arial" w:hAnsi="Arial" w:cs="Arial"/>
          <w:sz w:val="24"/>
          <w:szCs w:val="24"/>
        </w:rPr>
      </w:pPr>
      <w:r w:rsidRPr="00AA07E3">
        <w:rPr>
          <w:rFonts w:ascii="Arial" w:hAnsi="Arial" w:cs="Arial"/>
          <w:b/>
          <w:sz w:val="24"/>
          <w:szCs w:val="24"/>
        </w:rPr>
        <w:t xml:space="preserve">Palavras-chave: </w:t>
      </w:r>
      <w:r w:rsidR="007A403C">
        <w:rPr>
          <w:rFonts w:ascii="Arial" w:hAnsi="Arial" w:cs="Arial"/>
          <w:sz w:val="24"/>
          <w:szCs w:val="24"/>
        </w:rPr>
        <w:t>Segurança d</w:t>
      </w:r>
      <w:r w:rsidR="007A403C" w:rsidRPr="007A403C">
        <w:rPr>
          <w:rFonts w:ascii="Arial" w:hAnsi="Arial" w:cs="Arial"/>
          <w:sz w:val="24"/>
          <w:szCs w:val="24"/>
        </w:rPr>
        <w:t xml:space="preserve">os Alimentos, Manipuladores, Setor </w:t>
      </w:r>
      <w:proofErr w:type="gramStart"/>
      <w:r w:rsidR="007A403C" w:rsidRPr="007A403C">
        <w:rPr>
          <w:rFonts w:ascii="Arial" w:hAnsi="Arial" w:cs="Arial"/>
          <w:sz w:val="24"/>
          <w:szCs w:val="24"/>
        </w:rPr>
        <w:t>Alimentício</w:t>
      </w:r>
      <w:proofErr w:type="gramEnd"/>
    </w:p>
    <w:p w:rsidR="00EE54A2" w:rsidRPr="007A403C" w:rsidRDefault="00EE54A2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5D0EDB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5D0EDB">
        <w:rPr>
          <w:rFonts w:ascii="Arial" w:hAnsi="Arial" w:cs="Arial"/>
          <w:sz w:val="24"/>
          <w:szCs w:val="24"/>
        </w:rPr>
        <w:t>______________________</w:t>
      </w:r>
    </w:p>
    <w:p w:rsidR="007A403C" w:rsidRDefault="0090164C" w:rsidP="007A403C">
      <w:pPr>
        <w:pStyle w:val="Textodenotadefim"/>
        <w:rPr>
          <w:rFonts w:ascii="Arial" w:hAnsi="Arial" w:cs="Arial"/>
          <w:sz w:val="24"/>
          <w:szCs w:val="24"/>
          <w:lang w:val="pt-BR"/>
        </w:rPr>
      </w:pPr>
      <w:r w:rsidRPr="005D0EDB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7A403C">
        <w:rPr>
          <w:rFonts w:ascii="Arial" w:hAnsi="Arial" w:cs="Arial"/>
          <w:sz w:val="24"/>
          <w:szCs w:val="24"/>
        </w:rPr>
        <w:t>Docente</w:t>
      </w:r>
      <w:r w:rsidR="007A403C">
        <w:rPr>
          <w:rFonts w:ascii="Arial" w:hAnsi="Arial" w:cs="Arial"/>
          <w:sz w:val="24"/>
          <w:szCs w:val="24"/>
          <w:lang w:val="pt-BR"/>
        </w:rPr>
        <w:t>s</w:t>
      </w:r>
      <w:r w:rsidRPr="005D0EDB">
        <w:rPr>
          <w:rFonts w:ascii="Arial" w:hAnsi="Arial" w:cs="Arial"/>
          <w:sz w:val="24"/>
          <w:szCs w:val="24"/>
        </w:rPr>
        <w:t xml:space="preserve">, </w:t>
      </w:r>
      <w:r w:rsidR="007A403C">
        <w:rPr>
          <w:rFonts w:ascii="Arial" w:hAnsi="Arial" w:cs="Arial"/>
          <w:sz w:val="24"/>
          <w:szCs w:val="24"/>
          <w:lang w:val="pt-BR"/>
        </w:rPr>
        <w:t xml:space="preserve">Departamento Engenharia de Alimentos e Engenharia Química, </w:t>
      </w:r>
      <w:r w:rsidR="0076039C" w:rsidRPr="005D0EDB">
        <w:rPr>
          <w:rFonts w:ascii="Arial" w:hAnsi="Arial" w:cs="Arial"/>
          <w:color w:val="000000"/>
          <w:sz w:val="24"/>
          <w:szCs w:val="24"/>
        </w:rPr>
        <w:t>– CE</w:t>
      </w:r>
      <w:r w:rsidR="0076039C">
        <w:rPr>
          <w:rFonts w:ascii="Arial" w:hAnsi="Arial" w:cs="Arial"/>
          <w:color w:val="000000"/>
          <w:sz w:val="24"/>
          <w:szCs w:val="24"/>
          <w:lang w:val="pt-BR"/>
        </w:rPr>
        <w:t>O.</w:t>
      </w:r>
      <w:r w:rsidR="007A403C" w:rsidRPr="005D0EDB">
        <w:rPr>
          <w:rFonts w:ascii="Arial" w:hAnsi="Arial" w:cs="Arial"/>
          <w:sz w:val="24"/>
          <w:szCs w:val="24"/>
          <w:lang w:val="pt-BR"/>
        </w:rPr>
        <w:t xml:space="preserve">  </w:t>
      </w:r>
      <w:r w:rsidR="0076039C">
        <w:rPr>
          <w:rFonts w:ascii="Arial" w:hAnsi="Arial" w:cs="Arial"/>
          <w:sz w:val="24"/>
          <w:szCs w:val="24"/>
          <w:lang w:val="pt-BR"/>
        </w:rPr>
        <w:t xml:space="preserve">EMAIL: </w:t>
      </w:r>
      <w:hyperlink r:id="rId8" w:history="1">
        <w:r w:rsidR="007A403C" w:rsidRPr="005D0EDB">
          <w:rPr>
            <w:rStyle w:val="Hyperlink"/>
            <w:rFonts w:ascii="Arial" w:hAnsi="Arial" w:cs="Arial"/>
            <w:sz w:val="24"/>
            <w:szCs w:val="24"/>
            <w:lang w:val="pt-BR"/>
          </w:rPr>
          <w:t>luciola.bagatini@udesc.br</w:t>
        </w:r>
      </w:hyperlink>
    </w:p>
    <w:p w:rsidR="007A403C" w:rsidRDefault="007A403C" w:rsidP="007A403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5D0EDB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5D0EDB">
        <w:rPr>
          <w:rFonts w:ascii="Arial" w:hAnsi="Arial" w:cs="Arial"/>
          <w:sz w:val="24"/>
          <w:szCs w:val="24"/>
        </w:rPr>
        <w:t xml:space="preserve"> </w:t>
      </w:r>
      <w:r w:rsidRPr="005D0EDB">
        <w:rPr>
          <w:rFonts w:ascii="Arial" w:hAnsi="Arial" w:cs="Arial"/>
          <w:color w:val="000000"/>
          <w:sz w:val="24"/>
          <w:szCs w:val="24"/>
        </w:rPr>
        <w:t>Acadêmicas do Curso de Engenharia de Alimentos – CEO – bolsistas PAEX/UDESC</w:t>
      </w:r>
      <w:r w:rsidRPr="005D0EDB">
        <w:rPr>
          <w:rFonts w:ascii="Arial" w:hAnsi="Arial" w:cs="Arial"/>
          <w:color w:val="3366FF"/>
          <w:sz w:val="24"/>
          <w:szCs w:val="24"/>
        </w:rPr>
        <w:t>.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90164C" w:rsidRPr="005D0EDB" w:rsidRDefault="007A403C" w:rsidP="007A40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0EDB">
        <w:rPr>
          <w:rStyle w:val="Refdenotaderodap"/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Acadêmica</w:t>
      </w:r>
      <w:r w:rsidRPr="007A40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 w:rsidRPr="005D0EDB">
        <w:rPr>
          <w:rFonts w:ascii="Arial" w:hAnsi="Arial" w:cs="Arial"/>
          <w:color w:val="000000"/>
          <w:sz w:val="24"/>
          <w:szCs w:val="24"/>
        </w:rPr>
        <w:t xml:space="preserve"> Curso de Engenharia de Alimentos – CEO – voluntária PAEX/UDESC. </w:t>
      </w:r>
    </w:p>
    <w:p w:rsidR="00EF6BD4" w:rsidRDefault="00EF6BD4"/>
    <w:sectPr w:rsidR="00EF6BD4" w:rsidSect="00414D9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798" w:rsidRDefault="000A2798" w:rsidP="0090164C">
      <w:pPr>
        <w:spacing w:after="0" w:line="240" w:lineRule="auto"/>
      </w:pPr>
      <w:r>
        <w:separator/>
      </w:r>
    </w:p>
  </w:endnote>
  <w:endnote w:type="continuationSeparator" w:id="0">
    <w:p w:rsidR="000A2798" w:rsidRDefault="000A279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798" w:rsidRDefault="000A2798" w:rsidP="0090164C">
      <w:pPr>
        <w:spacing w:after="0" w:line="240" w:lineRule="auto"/>
      </w:pPr>
      <w:r>
        <w:separator/>
      </w:r>
    </w:p>
  </w:footnote>
  <w:footnote w:type="continuationSeparator" w:id="0">
    <w:p w:rsidR="000A2798" w:rsidRDefault="000A279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0A2798"/>
    <w:rsid w:val="001C3A10"/>
    <w:rsid w:val="003A27E7"/>
    <w:rsid w:val="00414D91"/>
    <w:rsid w:val="005D0EDB"/>
    <w:rsid w:val="005D1B95"/>
    <w:rsid w:val="006536DE"/>
    <w:rsid w:val="0076039C"/>
    <w:rsid w:val="007A403C"/>
    <w:rsid w:val="007F3E7D"/>
    <w:rsid w:val="007F6954"/>
    <w:rsid w:val="0090164C"/>
    <w:rsid w:val="00A00EE2"/>
    <w:rsid w:val="00A75E6C"/>
    <w:rsid w:val="00AA07E3"/>
    <w:rsid w:val="00AE378F"/>
    <w:rsid w:val="00C67B67"/>
    <w:rsid w:val="00C75235"/>
    <w:rsid w:val="00D30A95"/>
    <w:rsid w:val="00D57207"/>
    <w:rsid w:val="00E30789"/>
    <w:rsid w:val="00EE54A2"/>
    <w:rsid w:val="00EF6BD4"/>
    <w:rsid w:val="00F11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E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378F"/>
    <w:rPr>
      <w:rFonts w:ascii="Tahoma" w:hAnsi="Tahoma" w:cs="Tahoma"/>
      <w:sz w:val="16"/>
      <w:szCs w:val="16"/>
    </w:rPr>
  </w:style>
  <w:style w:type="paragraph" w:customStyle="1" w:styleId="Padro">
    <w:name w:val="Padrão"/>
    <w:uiPriority w:val="99"/>
    <w:rsid w:val="005D0E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rsid w:val="005D0ED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D0EDB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rsid w:val="005D0ED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D0EDB"/>
    <w:rPr>
      <w:rFonts w:ascii="Times New Roman" w:eastAsia="Calibri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rsid w:val="005D0EDB"/>
    <w:rPr>
      <w:rFonts w:cs="Times New Roman"/>
      <w:vertAlign w:val="superscript"/>
    </w:rPr>
  </w:style>
  <w:style w:type="character" w:styleId="Hyperlink">
    <w:name w:val="Hyperlink"/>
    <w:uiPriority w:val="99"/>
    <w:unhideWhenUsed/>
    <w:rsid w:val="005D0E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ola.bagatini@udesc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visa.gov.br/alimentos/bpf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280B9-9A30-4B9D-AF1C-6414DFDA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701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UDESC</cp:lastModifiedBy>
  <cp:revision>12</cp:revision>
  <dcterms:created xsi:type="dcterms:W3CDTF">2016-10-27T11:59:00Z</dcterms:created>
  <dcterms:modified xsi:type="dcterms:W3CDTF">2016-10-27T18:10:00Z</dcterms:modified>
</cp:coreProperties>
</file>