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5AC7" w:rsidRPr="00006EA2" w:rsidRDefault="00E25AC7" w:rsidP="00DC2AC0">
      <w:pPr>
        <w:spacing w:after="0" w:line="360" w:lineRule="auto"/>
        <w:jc w:val="center"/>
        <w:rPr>
          <w:rFonts w:ascii="Arial" w:hAnsi="Arial" w:cs="Arial"/>
          <w:b/>
          <w:sz w:val="24"/>
          <w:szCs w:val="24"/>
          <w:lang w:eastAsia="pt-BR"/>
        </w:rPr>
      </w:pPr>
      <w:r w:rsidRPr="00006EA2">
        <w:rPr>
          <w:rFonts w:ascii="Arial" w:hAnsi="Arial" w:cs="Arial"/>
          <w:b/>
          <w:sz w:val="24"/>
          <w:szCs w:val="24"/>
          <w:lang w:eastAsia="pt-BR"/>
        </w:rPr>
        <w:t>INDICADORES FINANCEIROS DA SAÚDE PÚBLICA:</w:t>
      </w:r>
      <w:r>
        <w:rPr>
          <w:rFonts w:ascii="Arial" w:hAnsi="Arial" w:cs="Arial"/>
          <w:b/>
          <w:sz w:val="24"/>
          <w:szCs w:val="24"/>
          <w:lang w:eastAsia="pt-BR"/>
        </w:rPr>
        <w:t xml:space="preserve"> </w:t>
      </w:r>
      <w:r w:rsidRPr="00006EA2">
        <w:rPr>
          <w:rFonts w:ascii="Arial" w:hAnsi="Arial" w:cs="Arial"/>
          <w:b/>
          <w:sz w:val="24"/>
          <w:szCs w:val="24"/>
          <w:lang w:eastAsia="pt-BR"/>
        </w:rPr>
        <w:t>UM ESTUDO PARA MUNICÍPIOS SELECIONADOS DA SDR DE ITAJAÍ</w:t>
      </w:r>
    </w:p>
    <w:p w:rsidR="00E25AC7" w:rsidRPr="001662A6" w:rsidRDefault="00E25AC7" w:rsidP="00DC2AC0">
      <w:pPr>
        <w:spacing w:line="360" w:lineRule="auto"/>
        <w:jc w:val="center"/>
        <w:rPr>
          <w:rFonts w:ascii="Arial" w:hAnsi="Arial" w:cs="Arial"/>
          <w:b/>
          <w:sz w:val="24"/>
          <w:szCs w:val="24"/>
          <w:lang w:eastAsia="pt-BR"/>
        </w:rPr>
      </w:pPr>
    </w:p>
    <w:p w:rsidR="00E25AC7" w:rsidRPr="001662A6" w:rsidRDefault="00E25AC7" w:rsidP="00C64A86">
      <w:pPr>
        <w:spacing w:line="360" w:lineRule="auto"/>
        <w:jc w:val="center"/>
        <w:rPr>
          <w:rStyle w:val="hps"/>
          <w:rFonts w:ascii="Arial" w:hAnsi="Arial" w:cs="Arial"/>
          <w:b/>
          <w:sz w:val="24"/>
          <w:szCs w:val="24"/>
          <w:lang w:val="en-US" w:eastAsia="pt-BR"/>
        </w:rPr>
      </w:pPr>
      <w:r w:rsidRPr="001662A6">
        <w:rPr>
          <w:rFonts w:ascii="Arial" w:hAnsi="Arial" w:cs="Arial"/>
          <w:b/>
          <w:color w:val="222222"/>
          <w:sz w:val="24"/>
          <w:szCs w:val="24"/>
          <w:lang w:val="en-US"/>
        </w:rPr>
        <w:t>PUBLIC HEALTH FINANCIAL INDICATOR</w:t>
      </w:r>
      <w:r w:rsidRPr="001662A6">
        <w:rPr>
          <w:rFonts w:ascii="Arial" w:hAnsi="Arial" w:cs="Arial"/>
          <w:b/>
          <w:sz w:val="24"/>
          <w:szCs w:val="24"/>
          <w:lang w:val="en-US" w:eastAsia="pt-BR"/>
        </w:rPr>
        <w:t xml:space="preserve">: </w:t>
      </w:r>
      <w:r w:rsidRPr="001662A6">
        <w:rPr>
          <w:rStyle w:val="hps"/>
          <w:rFonts w:ascii="Arial" w:hAnsi="Arial" w:cs="Arial"/>
          <w:b/>
          <w:sz w:val="24"/>
          <w:szCs w:val="24"/>
          <w:shd w:val="clear" w:color="auto" w:fill="F5F5F5"/>
          <w:lang w:val="en-US"/>
        </w:rPr>
        <w:t>A STUDY</w:t>
      </w:r>
      <w:r w:rsidRPr="001662A6">
        <w:rPr>
          <w:rStyle w:val="apple-converted-space"/>
          <w:rFonts w:ascii="Arial" w:hAnsi="Arial" w:cs="Arial"/>
          <w:b/>
          <w:sz w:val="24"/>
          <w:szCs w:val="24"/>
          <w:shd w:val="clear" w:color="auto" w:fill="F5F5F5"/>
          <w:lang w:val="en-US"/>
        </w:rPr>
        <w:t xml:space="preserve"> FOR </w:t>
      </w:r>
      <w:r w:rsidRPr="001662A6">
        <w:rPr>
          <w:rStyle w:val="hps"/>
          <w:rFonts w:ascii="Arial" w:hAnsi="Arial" w:cs="Arial"/>
          <w:b/>
          <w:sz w:val="24"/>
          <w:szCs w:val="24"/>
          <w:shd w:val="clear" w:color="auto" w:fill="F5F5F5"/>
          <w:lang w:val="en-US"/>
        </w:rPr>
        <w:t>SELECTED</w:t>
      </w:r>
      <w:r w:rsidRPr="001662A6">
        <w:rPr>
          <w:rStyle w:val="apple-converted-space"/>
          <w:rFonts w:ascii="Arial" w:hAnsi="Arial" w:cs="Arial"/>
          <w:b/>
          <w:sz w:val="24"/>
          <w:szCs w:val="24"/>
          <w:shd w:val="clear" w:color="auto" w:fill="F5F5F5"/>
          <w:lang w:val="en-US"/>
        </w:rPr>
        <w:t> </w:t>
      </w:r>
      <w:r w:rsidRPr="001662A6">
        <w:rPr>
          <w:rStyle w:val="hps"/>
          <w:rFonts w:ascii="Arial" w:hAnsi="Arial" w:cs="Arial"/>
          <w:b/>
          <w:sz w:val="24"/>
          <w:szCs w:val="24"/>
          <w:shd w:val="clear" w:color="auto" w:fill="F5F5F5"/>
          <w:lang w:val="en-US"/>
        </w:rPr>
        <w:t>MUNICIPALITIES</w:t>
      </w:r>
      <w:r w:rsidRPr="001662A6">
        <w:rPr>
          <w:rStyle w:val="apple-converted-space"/>
          <w:rFonts w:ascii="Arial" w:hAnsi="Arial" w:cs="Arial"/>
          <w:b/>
          <w:sz w:val="24"/>
          <w:szCs w:val="24"/>
          <w:shd w:val="clear" w:color="auto" w:fill="F5F5F5"/>
          <w:lang w:val="en-US"/>
        </w:rPr>
        <w:t> </w:t>
      </w:r>
      <w:r w:rsidRPr="001662A6">
        <w:rPr>
          <w:rStyle w:val="hps"/>
          <w:rFonts w:ascii="Arial" w:hAnsi="Arial" w:cs="Arial"/>
          <w:b/>
          <w:sz w:val="24"/>
          <w:szCs w:val="24"/>
          <w:shd w:val="clear" w:color="auto" w:fill="F5F5F5"/>
          <w:lang w:val="en-US"/>
        </w:rPr>
        <w:t>OF</w:t>
      </w:r>
      <w:r w:rsidRPr="001662A6">
        <w:rPr>
          <w:rStyle w:val="apple-converted-space"/>
          <w:rFonts w:ascii="Arial" w:hAnsi="Arial" w:cs="Arial"/>
          <w:b/>
          <w:sz w:val="24"/>
          <w:szCs w:val="24"/>
          <w:shd w:val="clear" w:color="auto" w:fill="F5F5F5"/>
          <w:lang w:val="en-US"/>
        </w:rPr>
        <w:t> </w:t>
      </w:r>
      <w:r w:rsidRPr="001662A6">
        <w:rPr>
          <w:rStyle w:val="hps"/>
          <w:rFonts w:ascii="Arial" w:hAnsi="Arial" w:cs="Arial"/>
          <w:b/>
          <w:sz w:val="24"/>
          <w:szCs w:val="24"/>
          <w:shd w:val="clear" w:color="auto" w:fill="F5F5F5"/>
          <w:lang w:val="en-US"/>
        </w:rPr>
        <w:t>SDR</w:t>
      </w:r>
      <w:r w:rsidRPr="001662A6">
        <w:rPr>
          <w:rStyle w:val="apple-converted-space"/>
          <w:rFonts w:ascii="Arial" w:hAnsi="Arial" w:cs="Arial"/>
          <w:b/>
          <w:sz w:val="24"/>
          <w:szCs w:val="24"/>
          <w:shd w:val="clear" w:color="auto" w:fill="F5F5F5"/>
          <w:lang w:val="en-US"/>
        </w:rPr>
        <w:t> </w:t>
      </w:r>
      <w:r w:rsidRPr="001662A6">
        <w:rPr>
          <w:rStyle w:val="hps"/>
          <w:rFonts w:ascii="Arial" w:hAnsi="Arial" w:cs="Arial"/>
          <w:b/>
          <w:sz w:val="24"/>
          <w:szCs w:val="24"/>
          <w:shd w:val="clear" w:color="auto" w:fill="F5F5F5"/>
          <w:lang w:val="en-US"/>
        </w:rPr>
        <w:t>ITAJAÍ</w:t>
      </w:r>
    </w:p>
    <w:p w:rsidR="00E25AC7" w:rsidRDefault="00E25AC7" w:rsidP="00D725AC">
      <w:pPr>
        <w:spacing w:after="0" w:line="240" w:lineRule="auto"/>
        <w:rPr>
          <w:rStyle w:val="hps"/>
          <w:rFonts w:ascii="Arial" w:hAnsi="Arial" w:cs="Arial"/>
          <w:color w:val="333333"/>
          <w:shd w:val="clear" w:color="auto" w:fill="F5F5F5"/>
          <w:lang w:val="en-US"/>
        </w:rPr>
      </w:pPr>
    </w:p>
    <w:p w:rsidR="00E25AC7" w:rsidRDefault="00E25AC7" w:rsidP="00D725AC">
      <w:pPr>
        <w:spacing w:after="0" w:line="240" w:lineRule="auto"/>
        <w:jc w:val="right"/>
        <w:rPr>
          <w:rStyle w:val="hps"/>
          <w:rFonts w:ascii="Arial" w:hAnsi="Arial" w:cs="Arial"/>
          <w:color w:val="333333"/>
          <w:shd w:val="clear" w:color="auto" w:fill="F5F5F5"/>
          <w:lang w:val="en-US"/>
        </w:rPr>
      </w:pPr>
    </w:p>
    <w:p w:rsidR="00E25AC7" w:rsidRDefault="00E25AC7" w:rsidP="004A18B5">
      <w:pPr>
        <w:spacing w:after="0" w:line="240" w:lineRule="auto"/>
        <w:jc w:val="right"/>
        <w:rPr>
          <w:rFonts w:ascii="Arial" w:hAnsi="Arial" w:cs="Arial"/>
          <w:sz w:val="24"/>
          <w:szCs w:val="24"/>
          <w:lang w:eastAsia="pt-BR"/>
        </w:rPr>
      </w:pPr>
      <w:proofErr w:type="spellStart"/>
      <w:r>
        <w:rPr>
          <w:rFonts w:ascii="Arial" w:hAnsi="Arial" w:cs="Arial"/>
          <w:sz w:val="24"/>
          <w:szCs w:val="24"/>
          <w:lang w:eastAsia="pt-BR"/>
        </w:rPr>
        <w:t>Ivoneti</w:t>
      </w:r>
      <w:proofErr w:type="spellEnd"/>
      <w:r>
        <w:rPr>
          <w:rFonts w:ascii="Arial" w:hAnsi="Arial" w:cs="Arial"/>
          <w:sz w:val="24"/>
          <w:szCs w:val="24"/>
          <w:lang w:eastAsia="pt-BR"/>
        </w:rPr>
        <w:t xml:space="preserve"> da Silva Ramos</w:t>
      </w:r>
      <w:r>
        <w:rPr>
          <w:rStyle w:val="Refdenotaderodap"/>
          <w:rFonts w:ascii="Arial" w:hAnsi="Arial" w:cs="Arial"/>
          <w:sz w:val="24"/>
          <w:szCs w:val="24"/>
          <w:lang w:eastAsia="pt-BR"/>
        </w:rPr>
        <w:footnoteReference w:id="1"/>
      </w:r>
    </w:p>
    <w:p w:rsidR="00E25AC7" w:rsidRDefault="00E25AC7" w:rsidP="004A18B5">
      <w:pPr>
        <w:spacing w:after="0" w:line="240" w:lineRule="auto"/>
        <w:jc w:val="right"/>
        <w:rPr>
          <w:rFonts w:ascii="Arial" w:hAnsi="Arial" w:cs="Arial"/>
          <w:sz w:val="24"/>
          <w:szCs w:val="24"/>
          <w:lang w:eastAsia="pt-BR"/>
        </w:rPr>
      </w:pPr>
      <w:r>
        <w:rPr>
          <w:rFonts w:ascii="Arial" w:hAnsi="Arial" w:cs="Arial"/>
          <w:sz w:val="24"/>
          <w:szCs w:val="24"/>
          <w:lang w:eastAsia="pt-BR"/>
        </w:rPr>
        <w:t xml:space="preserve">Bruna </w:t>
      </w:r>
      <w:proofErr w:type="spellStart"/>
      <w:r>
        <w:rPr>
          <w:rFonts w:ascii="Arial" w:hAnsi="Arial" w:cs="Arial"/>
          <w:sz w:val="24"/>
          <w:szCs w:val="24"/>
          <w:lang w:eastAsia="pt-BR"/>
        </w:rPr>
        <w:t>Anziliero</w:t>
      </w:r>
      <w:proofErr w:type="spellEnd"/>
      <w:r>
        <w:rPr>
          <w:rStyle w:val="Refdenotaderodap"/>
          <w:rFonts w:ascii="Arial" w:hAnsi="Arial" w:cs="Arial"/>
          <w:sz w:val="24"/>
          <w:szCs w:val="24"/>
          <w:lang w:eastAsia="pt-BR"/>
        </w:rPr>
        <w:footnoteReference w:id="2"/>
      </w:r>
    </w:p>
    <w:p w:rsidR="00E25AC7" w:rsidRDefault="00E25AC7" w:rsidP="004A18B5">
      <w:pPr>
        <w:spacing w:after="0" w:line="240" w:lineRule="auto"/>
        <w:jc w:val="right"/>
        <w:rPr>
          <w:rFonts w:ascii="Arial" w:hAnsi="Arial" w:cs="Arial"/>
          <w:sz w:val="24"/>
          <w:szCs w:val="24"/>
          <w:lang w:eastAsia="pt-BR"/>
        </w:rPr>
      </w:pPr>
      <w:proofErr w:type="gramStart"/>
      <w:r>
        <w:rPr>
          <w:rFonts w:ascii="Arial" w:hAnsi="Arial" w:cs="Arial"/>
          <w:sz w:val="24"/>
          <w:szCs w:val="24"/>
          <w:lang w:eastAsia="pt-BR"/>
        </w:rPr>
        <w:t>Helena Matos</w:t>
      </w:r>
      <w:proofErr w:type="gramEnd"/>
      <w:r>
        <w:rPr>
          <w:rFonts w:ascii="Arial" w:hAnsi="Arial" w:cs="Arial"/>
          <w:sz w:val="24"/>
          <w:szCs w:val="24"/>
          <w:lang w:eastAsia="pt-BR"/>
        </w:rPr>
        <w:t xml:space="preserve"> de Lima</w:t>
      </w:r>
      <w:r>
        <w:rPr>
          <w:rStyle w:val="Refdenotaderodap"/>
          <w:rFonts w:ascii="Arial" w:hAnsi="Arial" w:cs="Arial"/>
          <w:sz w:val="24"/>
          <w:szCs w:val="24"/>
          <w:lang w:eastAsia="pt-BR"/>
        </w:rPr>
        <w:footnoteReference w:id="3"/>
      </w:r>
    </w:p>
    <w:p w:rsidR="00E25AC7" w:rsidRDefault="00E25AC7" w:rsidP="004A18B5">
      <w:pPr>
        <w:spacing w:after="0" w:line="240" w:lineRule="auto"/>
        <w:jc w:val="right"/>
        <w:rPr>
          <w:rFonts w:ascii="Arial" w:hAnsi="Arial" w:cs="Arial"/>
          <w:sz w:val="24"/>
          <w:szCs w:val="24"/>
          <w:lang w:eastAsia="pt-BR"/>
        </w:rPr>
      </w:pPr>
      <w:r>
        <w:rPr>
          <w:rFonts w:ascii="Arial" w:hAnsi="Arial" w:cs="Arial"/>
          <w:sz w:val="24"/>
          <w:szCs w:val="24"/>
          <w:lang w:eastAsia="pt-BR"/>
        </w:rPr>
        <w:t>Laura Teixeira Linhares</w:t>
      </w:r>
      <w:r>
        <w:rPr>
          <w:rStyle w:val="Refdenotaderodap"/>
          <w:rFonts w:ascii="Arial" w:hAnsi="Arial" w:cs="Arial"/>
          <w:sz w:val="24"/>
          <w:szCs w:val="24"/>
          <w:lang w:eastAsia="pt-BR"/>
        </w:rPr>
        <w:footnoteReference w:id="4"/>
      </w:r>
    </w:p>
    <w:p w:rsidR="00E25AC7" w:rsidRDefault="00E25AC7" w:rsidP="004A18B5">
      <w:pPr>
        <w:spacing w:after="0" w:line="240" w:lineRule="auto"/>
        <w:jc w:val="right"/>
        <w:rPr>
          <w:rFonts w:ascii="Arial" w:hAnsi="Arial" w:cs="Arial"/>
          <w:sz w:val="24"/>
          <w:szCs w:val="24"/>
          <w:lang w:eastAsia="pt-BR"/>
        </w:rPr>
      </w:pPr>
      <w:r>
        <w:rPr>
          <w:rFonts w:ascii="Arial" w:hAnsi="Arial" w:cs="Arial"/>
          <w:sz w:val="24"/>
          <w:szCs w:val="24"/>
          <w:lang w:eastAsia="pt-BR"/>
        </w:rPr>
        <w:t>Maria Aparecida Neto da Cruz</w:t>
      </w:r>
      <w:r>
        <w:rPr>
          <w:rStyle w:val="Refdenotaderodap"/>
          <w:rFonts w:ascii="Arial" w:hAnsi="Arial" w:cs="Arial"/>
          <w:sz w:val="24"/>
          <w:szCs w:val="24"/>
          <w:lang w:eastAsia="pt-BR"/>
        </w:rPr>
        <w:footnoteReference w:id="5"/>
      </w:r>
    </w:p>
    <w:p w:rsidR="00E25AC7" w:rsidRPr="00452ADD" w:rsidRDefault="00E25AC7" w:rsidP="00D725AC">
      <w:pPr>
        <w:spacing w:after="0" w:line="240" w:lineRule="auto"/>
        <w:jc w:val="center"/>
        <w:rPr>
          <w:rFonts w:ascii="Arial" w:hAnsi="Arial" w:cs="Arial"/>
          <w:sz w:val="24"/>
          <w:szCs w:val="24"/>
          <w:lang w:eastAsia="pt-BR"/>
        </w:rPr>
      </w:pPr>
    </w:p>
    <w:p w:rsidR="00E25AC7" w:rsidRPr="0000188C" w:rsidRDefault="00E25AC7" w:rsidP="006C1DF7">
      <w:pPr>
        <w:pStyle w:val="SemEspaamento"/>
        <w:jc w:val="both"/>
        <w:rPr>
          <w:rFonts w:ascii="Arial" w:hAnsi="Arial" w:cs="Arial"/>
          <w:sz w:val="20"/>
          <w:szCs w:val="20"/>
        </w:rPr>
      </w:pPr>
      <w:r w:rsidRPr="00D96591">
        <w:rPr>
          <w:sz w:val="24"/>
          <w:szCs w:val="24"/>
          <w:lang w:eastAsia="pt-BR"/>
        </w:rPr>
        <w:br/>
      </w:r>
      <w:r w:rsidRPr="0000188C">
        <w:rPr>
          <w:rFonts w:ascii="Arial" w:hAnsi="Arial" w:cs="Arial"/>
          <w:b/>
          <w:bCs/>
          <w:sz w:val="24"/>
          <w:szCs w:val="24"/>
          <w:lang w:eastAsia="pt-BR"/>
        </w:rPr>
        <w:t>Resumo:</w:t>
      </w:r>
      <w:r w:rsidRPr="0000188C">
        <w:rPr>
          <w:rFonts w:ascii="Arial" w:hAnsi="Arial" w:cs="Arial"/>
          <w:sz w:val="20"/>
          <w:szCs w:val="20"/>
        </w:rPr>
        <w:br/>
      </w:r>
    </w:p>
    <w:p w:rsidR="00E25AC7" w:rsidRPr="006C1DF7" w:rsidRDefault="00E25AC7" w:rsidP="006C1DF7">
      <w:pPr>
        <w:pStyle w:val="SemEspaamento"/>
        <w:jc w:val="both"/>
        <w:rPr>
          <w:rFonts w:ascii="Arial" w:hAnsi="Arial" w:cs="Arial"/>
          <w:sz w:val="20"/>
          <w:szCs w:val="20"/>
          <w:lang w:eastAsia="pt-BR"/>
        </w:rPr>
      </w:pPr>
      <w:r w:rsidRPr="006C1DF7">
        <w:rPr>
          <w:rFonts w:ascii="Arial" w:hAnsi="Arial" w:cs="Arial"/>
          <w:sz w:val="20"/>
          <w:szCs w:val="20"/>
        </w:rPr>
        <w:t xml:space="preserve">O presente estudo apresenta dados de finanças públicas com foco em indicadores financeiros da área da Saúde em Municípios selecionados da SDR de Itajaí (SC), utilizando como base para tanto os resultados das atividades de extensão do Projeto Bússola Municipal, desenvolvido na ESAG/UDESC. A análise busca apoiar a gestão dos municípios </w:t>
      </w:r>
      <w:smartTag w:uri="urn:schemas-microsoft-com:office:smarttags" w:element="PersonName">
        <w:smartTagPr>
          <w:attr w:name="ProductID" w:val="em questão. Quanto"/>
        </w:smartTagPr>
        <w:r w:rsidRPr="006C1DF7">
          <w:rPr>
            <w:rFonts w:ascii="Arial" w:hAnsi="Arial" w:cs="Arial"/>
            <w:sz w:val="20"/>
            <w:szCs w:val="20"/>
          </w:rPr>
          <w:t>em questão. Quanto</w:t>
        </w:r>
      </w:smartTag>
      <w:r w:rsidRPr="006C1DF7">
        <w:rPr>
          <w:rFonts w:ascii="Arial" w:hAnsi="Arial" w:cs="Arial"/>
          <w:sz w:val="20"/>
          <w:szCs w:val="20"/>
        </w:rPr>
        <w:t xml:space="preserve"> à metodologia empregada, no tipo e técnica de pesquisa, o estudo pode ser classificado como </w:t>
      </w:r>
      <w:proofErr w:type="spellStart"/>
      <w:r w:rsidRPr="006C1DF7">
        <w:rPr>
          <w:rFonts w:ascii="Arial" w:hAnsi="Arial" w:cs="Arial"/>
          <w:sz w:val="20"/>
          <w:szCs w:val="20"/>
        </w:rPr>
        <w:t>quali</w:t>
      </w:r>
      <w:proofErr w:type="spellEnd"/>
      <w:r w:rsidRPr="006C1DF7">
        <w:rPr>
          <w:rFonts w:ascii="Arial" w:hAnsi="Arial" w:cs="Arial"/>
          <w:sz w:val="20"/>
          <w:szCs w:val="20"/>
        </w:rPr>
        <w:t>-quanti; no levantamento e tratamento das informações, utilizou-se a pesquisa bibliográfica, a pesquisa na web e a</w:t>
      </w:r>
      <w:r w:rsidRPr="006C1DF7">
        <w:rPr>
          <w:rFonts w:ascii="Arial" w:hAnsi="Arial" w:cs="Arial"/>
          <w:color w:val="222222"/>
          <w:sz w:val="20"/>
          <w:szCs w:val="20"/>
        </w:rPr>
        <w:t xml:space="preserve"> legislação.</w:t>
      </w:r>
      <w:r w:rsidRPr="006C1DF7">
        <w:rPr>
          <w:rFonts w:ascii="Arial" w:hAnsi="Arial" w:cs="Arial"/>
          <w:sz w:val="20"/>
          <w:szCs w:val="20"/>
          <w:lang w:eastAsia="pt-BR"/>
        </w:rPr>
        <w:t xml:space="preserve"> </w:t>
      </w:r>
      <w:r>
        <w:rPr>
          <w:rFonts w:ascii="Arial" w:hAnsi="Arial" w:cs="Arial"/>
          <w:sz w:val="20"/>
          <w:szCs w:val="20"/>
          <w:lang w:eastAsia="pt-BR"/>
        </w:rPr>
        <w:t xml:space="preserve">Os resultados indicaram o cumprimento do mínimo constitucional em todos os municípios, com relação aos anos de </w:t>
      </w:r>
      <w:smartTag w:uri="urn:schemas-microsoft-com:office:smarttags" w:element="metricconverter">
        <w:smartTagPr>
          <w:attr w:name="ProductID" w:val="2004 a"/>
        </w:smartTagPr>
        <w:r>
          <w:rPr>
            <w:rFonts w:ascii="Arial" w:hAnsi="Arial" w:cs="Arial"/>
            <w:sz w:val="20"/>
            <w:szCs w:val="20"/>
            <w:lang w:eastAsia="pt-BR"/>
          </w:rPr>
          <w:t>2004 a</w:t>
        </w:r>
      </w:smartTag>
      <w:r>
        <w:rPr>
          <w:rFonts w:ascii="Arial" w:hAnsi="Arial" w:cs="Arial"/>
          <w:sz w:val="20"/>
          <w:szCs w:val="20"/>
          <w:lang w:eastAsia="pt-BR"/>
        </w:rPr>
        <w:t xml:space="preserve"> 2010 e que o gasto </w:t>
      </w:r>
      <w:r w:rsidRPr="006A3805">
        <w:rPr>
          <w:rFonts w:ascii="Arial" w:hAnsi="Arial" w:cs="Arial"/>
          <w:i/>
          <w:sz w:val="20"/>
          <w:szCs w:val="20"/>
          <w:lang w:eastAsia="pt-BR"/>
        </w:rPr>
        <w:t>per capita</w:t>
      </w:r>
      <w:r>
        <w:rPr>
          <w:rFonts w:ascii="Arial" w:hAnsi="Arial" w:cs="Arial"/>
          <w:sz w:val="20"/>
          <w:szCs w:val="20"/>
          <w:lang w:eastAsia="pt-BR"/>
        </w:rPr>
        <w:t xml:space="preserve"> é maior no município de Balneário </w:t>
      </w:r>
      <w:proofErr w:type="spellStart"/>
      <w:r>
        <w:rPr>
          <w:rFonts w:ascii="Arial" w:hAnsi="Arial" w:cs="Arial"/>
          <w:sz w:val="20"/>
          <w:szCs w:val="20"/>
          <w:lang w:eastAsia="pt-BR"/>
        </w:rPr>
        <w:t>Camboriu</w:t>
      </w:r>
      <w:proofErr w:type="spellEnd"/>
      <w:r>
        <w:rPr>
          <w:rFonts w:ascii="Arial" w:hAnsi="Arial" w:cs="Arial"/>
          <w:sz w:val="20"/>
          <w:szCs w:val="20"/>
          <w:lang w:eastAsia="pt-BR"/>
        </w:rPr>
        <w:t>, porém, em termos de tendência de crescimento dos gastos com relação aos recursos próprios, o município de Itajaí destaca-se dentre os municípios pesquisados.</w:t>
      </w:r>
    </w:p>
    <w:p w:rsidR="00E25AC7" w:rsidRPr="00835D0B" w:rsidRDefault="00E25AC7" w:rsidP="006C1DF7">
      <w:pPr>
        <w:pStyle w:val="SemEspaamento"/>
        <w:jc w:val="both"/>
        <w:rPr>
          <w:rFonts w:ascii="Arial" w:hAnsi="Arial" w:cs="Arial"/>
          <w:sz w:val="20"/>
          <w:szCs w:val="20"/>
          <w:lang w:eastAsia="pt-BR"/>
        </w:rPr>
      </w:pPr>
    </w:p>
    <w:p w:rsidR="00E25AC7" w:rsidRPr="00E35A58" w:rsidRDefault="00E25AC7" w:rsidP="006C1DF7">
      <w:pPr>
        <w:pStyle w:val="SemEspaamento"/>
        <w:jc w:val="both"/>
        <w:rPr>
          <w:rFonts w:ascii="Arial" w:hAnsi="Arial" w:cs="Arial"/>
          <w:b/>
          <w:bCs/>
          <w:sz w:val="20"/>
          <w:szCs w:val="20"/>
          <w:lang w:eastAsia="pt-BR"/>
        </w:rPr>
      </w:pPr>
      <w:r w:rsidRPr="00835D0B">
        <w:rPr>
          <w:rFonts w:ascii="Arial" w:hAnsi="Arial" w:cs="Arial"/>
          <w:b/>
          <w:sz w:val="20"/>
          <w:szCs w:val="20"/>
        </w:rPr>
        <w:t>Palavras-chaves</w:t>
      </w:r>
      <w:r w:rsidRPr="00835D0B">
        <w:rPr>
          <w:rFonts w:ascii="Arial" w:hAnsi="Arial" w:cs="Arial"/>
          <w:sz w:val="20"/>
          <w:szCs w:val="20"/>
        </w:rPr>
        <w:t>: Finanças Públicas. Economia da Saúde.  Indicadores da Saúde Pública</w:t>
      </w:r>
      <w:r w:rsidRPr="007D1F0C">
        <w:rPr>
          <w:rFonts w:ascii="Arial" w:hAnsi="Arial" w:cs="Arial"/>
        </w:rPr>
        <w:t>.</w:t>
      </w:r>
      <w:r w:rsidRPr="006C1DF7">
        <w:rPr>
          <w:rFonts w:ascii="Arial" w:hAnsi="Arial" w:cs="Arial"/>
          <w:sz w:val="20"/>
          <w:szCs w:val="20"/>
          <w:lang w:eastAsia="pt-BR"/>
        </w:rPr>
        <w:br/>
      </w:r>
      <w:r w:rsidRPr="006C1DF7">
        <w:rPr>
          <w:rFonts w:ascii="Arial" w:hAnsi="Arial" w:cs="Arial"/>
          <w:sz w:val="20"/>
          <w:szCs w:val="20"/>
          <w:lang w:eastAsia="pt-BR"/>
        </w:rPr>
        <w:br/>
      </w:r>
      <w:r w:rsidRPr="00E35A58">
        <w:rPr>
          <w:rFonts w:ascii="Arial" w:hAnsi="Arial" w:cs="Arial"/>
          <w:b/>
          <w:bCs/>
          <w:sz w:val="24"/>
          <w:szCs w:val="24"/>
          <w:lang w:eastAsia="pt-BR"/>
        </w:rPr>
        <w:t>Abstract:</w:t>
      </w:r>
      <w:r w:rsidRPr="00E35A58">
        <w:rPr>
          <w:rFonts w:ascii="Arial" w:hAnsi="Arial" w:cs="Arial"/>
          <w:b/>
          <w:bCs/>
          <w:sz w:val="20"/>
          <w:szCs w:val="20"/>
          <w:lang w:eastAsia="pt-BR"/>
        </w:rPr>
        <w:t xml:space="preserve"> </w:t>
      </w:r>
    </w:p>
    <w:p w:rsidR="00E25AC7" w:rsidRPr="006C1DF7" w:rsidRDefault="00E25AC7" w:rsidP="006C1DF7">
      <w:pPr>
        <w:pStyle w:val="SemEspaamento"/>
        <w:jc w:val="both"/>
        <w:rPr>
          <w:rFonts w:ascii="Arial" w:hAnsi="Arial" w:cs="Arial"/>
          <w:sz w:val="20"/>
          <w:szCs w:val="20"/>
        </w:rPr>
      </w:pPr>
    </w:p>
    <w:p w:rsidR="00E25AC7" w:rsidRPr="006C1DF7" w:rsidRDefault="00E25AC7" w:rsidP="00F56239">
      <w:pPr>
        <w:spacing w:line="240" w:lineRule="auto"/>
        <w:jc w:val="both"/>
        <w:rPr>
          <w:rFonts w:ascii="Arial" w:hAnsi="Arial" w:cs="Arial"/>
          <w:b/>
          <w:bCs/>
          <w:sz w:val="20"/>
          <w:szCs w:val="20"/>
          <w:lang w:val="en-US" w:eastAsia="pt-BR"/>
        </w:rPr>
      </w:pPr>
      <w:r w:rsidRPr="006C1DF7">
        <w:rPr>
          <w:rFonts w:ascii="Arial" w:hAnsi="Arial" w:cs="Arial"/>
          <w:sz w:val="20"/>
          <w:szCs w:val="20"/>
          <w:lang w:val="en-US"/>
        </w:rPr>
        <w:t>The objective of this study was to analyze</w:t>
      </w:r>
      <w:r w:rsidRPr="006C1DF7">
        <w:rPr>
          <w:rStyle w:val="apple-converted-space"/>
          <w:rFonts w:ascii="Arial" w:hAnsi="Arial" w:cs="Arial"/>
          <w:sz w:val="20"/>
          <w:szCs w:val="20"/>
          <w:lang w:val="en-US"/>
        </w:rPr>
        <w:t> </w:t>
      </w:r>
      <w:r w:rsidRPr="006C1DF7">
        <w:rPr>
          <w:rFonts w:ascii="Arial" w:hAnsi="Arial" w:cs="Arial"/>
          <w:sz w:val="20"/>
          <w:szCs w:val="20"/>
          <w:lang w:val="en-US"/>
        </w:rPr>
        <w:t>public health financials indicators for selected</w:t>
      </w:r>
      <w:r w:rsidRPr="006C1DF7">
        <w:rPr>
          <w:rStyle w:val="apple-converted-space"/>
          <w:rFonts w:ascii="Arial" w:hAnsi="Arial" w:cs="Arial"/>
          <w:sz w:val="20"/>
          <w:szCs w:val="20"/>
          <w:lang w:val="en-US"/>
        </w:rPr>
        <w:t> </w:t>
      </w:r>
      <w:r w:rsidRPr="006C1DF7">
        <w:rPr>
          <w:rStyle w:val="il"/>
          <w:rFonts w:ascii="Arial" w:hAnsi="Arial" w:cs="Arial"/>
          <w:sz w:val="20"/>
          <w:szCs w:val="20"/>
          <w:lang w:val="en-US"/>
        </w:rPr>
        <w:t xml:space="preserve">municipalities of SDR </w:t>
      </w:r>
      <w:proofErr w:type="spellStart"/>
      <w:r w:rsidRPr="006C1DF7">
        <w:rPr>
          <w:rStyle w:val="il"/>
          <w:rFonts w:ascii="Arial" w:hAnsi="Arial" w:cs="Arial"/>
          <w:sz w:val="20"/>
          <w:szCs w:val="20"/>
          <w:lang w:val="en-US"/>
        </w:rPr>
        <w:t>Itajaí</w:t>
      </w:r>
      <w:proofErr w:type="spellEnd"/>
      <w:r w:rsidRPr="006C1DF7">
        <w:rPr>
          <w:rStyle w:val="il"/>
          <w:rFonts w:ascii="Arial" w:hAnsi="Arial" w:cs="Arial"/>
          <w:sz w:val="20"/>
          <w:szCs w:val="20"/>
          <w:lang w:val="en-US"/>
        </w:rPr>
        <w:t xml:space="preserve"> (SC), using like base for so much the results of the activities of extension Project </w:t>
      </w:r>
      <w:proofErr w:type="spellStart"/>
      <w:r w:rsidRPr="006C1DF7">
        <w:rPr>
          <w:rStyle w:val="il"/>
          <w:rFonts w:ascii="Arial" w:hAnsi="Arial" w:cs="Arial"/>
          <w:sz w:val="20"/>
          <w:szCs w:val="20"/>
          <w:lang w:val="en-US"/>
        </w:rPr>
        <w:t>Bússola</w:t>
      </w:r>
      <w:proofErr w:type="spellEnd"/>
      <w:r w:rsidRPr="006C1DF7">
        <w:rPr>
          <w:rStyle w:val="il"/>
          <w:rFonts w:ascii="Arial" w:hAnsi="Arial" w:cs="Arial"/>
          <w:sz w:val="20"/>
          <w:szCs w:val="20"/>
          <w:lang w:val="en-US"/>
        </w:rPr>
        <w:t xml:space="preserve"> Municipal, developed in</w:t>
      </w:r>
      <w:r w:rsidRPr="006C1DF7">
        <w:rPr>
          <w:rFonts w:ascii="Arial" w:hAnsi="Arial" w:cs="Arial"/>
          <w:color w:val="222222"/>
          <w:sz w:val="20"/>
          <w:szCs w:val="20"/>
          <w:lang w:val="en-US"/>
        </w:rPr>
        <w:t xml:space="preserve"> ESAG/UDESC.</w:t>
      </w:r>
      <w:r w:rsidRPr="006C1DF7">
        <w:rPr>
          <w:rFonts w:ascii="Arial" w:hAnsi="Arial" w:cs="Arial"/>
          <w:sz w:val="20"/>
          <w:szCs w:val="20"/>
          <w:lang w:val="en-US"/>
        </w:rPr>
        <w:t xml:space="preserve"> </w:t>
      </w:r>
      <w:r w:rsidRPr="006C1DF7">
        <w:rPr>
          <w:rFonts w:ascii="Arial" w:hAnsi="Arial" w:cs="Arial"/>
          <w:color w:val="222222"/>
          <w:sz w:val="20"/>
          <w:szCs w:val="20"/>
          <w:lang w:val="en-US"/>
        </w:rPr>
        <w:t xml:space="preserve">The analysis looks to support the management of the municipalities open to question. As for the employed methodology, in the type and technique of inquiry, the study can be classified how </w:t>
      </w:r>
      <w:proofErr w:type="spellStart"/>
      <w:r w:rsidRPr="006C1DF7">
        <w:rPr>
          <w:rFonts w:ascii="Arial" w:hAnsi="Arial" w:cs="Arial"/>
          <w:color w:val="222222"/>
          <w:sz w:val="20"/>
          <w:szCs w:val="20"/>
          <w:lang w:val="en-US"/>
        </w:rPr>
        <w:t>quali-quanti</w:t>
      </w:r>
      <w:proofErr w:type="spellEnd"/>
      <w:r w:rsidRPr="006C1DF7">
        <w:rPr>
          <w:rFonts w:ascii="Arial" w:hAnsi="Arial" w:cs="Arial"/>
          <w:color w:val="222222"/>
          <w:sz w:val="20"/>
          <w:szCs w:val="20"/>
          <w:lang w:val="en-US"/>
        </w:rPr>
        <w:t xml:space="preserve">; in the lifting and treatment of the </w:t>
      </w:r>
      <w:proofErr w:type="spellStart"/>
      <w:r w:rsidRPr="006C1DF7">
        <w:rPr>
          <w:rFonts w:ascii="Arial" w:hAnsi="Arial" w:cs="Arial"/>
          <w:color w:val="222222"/>
          <w:sz w:val="20"/>
          <w:szCs w:val="20"/>
          <w:lang w:val="en-US"/>
        </w:rPr>
        <w:t>informations</w:t>
      </w:r>
      <w:proofErr w:type="spellEnd"/>
      <w:r w:rsidRPr="006C1DF7">
        <w:rPr>
          <w:rFonts w:ascii="Arial" w:hAnsi="Arial" w:cs="Arial"/>
          <w:color w:val="222222"/>
          <w:sz w:val="20"/>
          <w:szCs w:val="20"/>
          <w:lang w:val="en-US"/>
        </w:rPr>
        <w:t>, the bibliographical inquiry, the inquiry was used in the web and the legislation.</w:t>
      </w:r>
      <w:r>
        <w:rPr>
          <w:rFonts w:ascii="Arial" w:hAnsi="Arial" w:cs="Arial"/>
          <w:color w:val="222222"/>
          <w:sz w:val="20"/>
          <w:szCs w:val="20"/>
          <w:lang w:val="en-US"/>
        </w:rPr>
        <w:t xml:space="preserve"> </w:t>
      </w:r>
      <w:r w:rsidRPr="00495178">
        <w:rPr>
          <w:rFonts w:ascii="Arial" w:hAnsi="Arial" w:cs="Arial"/>
          <w:color w:val="222222"/>
          <w:sz w:val="20"/>
          <w:szCs w:val="20"/>
          <w:lang w:val="en-US"/>
        </w:rPr>
        <w:t xml:space="preserve">The results indicated the </w:t>
      </w:r>
      <w:proofErr w:type="spellStart"/>
      <w:r w:rsidRPr="00495178">
        <w:rPr>
          <w:rFonts w:ascii="Arial" w:hAnsi="Arial" w:cs="Arial"/>
          <w:color w:val="222222"/>
          <w:sz w:val="20"/>
          <w:szCs w:val="20"/>
          <w:lang w:val="en-US"/>
        </w:rPr>
        <w:t>fulfilment</w:t>
      </w:r>
      <w:proofErr w:type="spellEnd"/>
      <w:r w:rsidRPr="00495178">
        <w:rPr>
          <w:rFonts w:ascii="Arial" w:hAnsi="Arial" w:cs="Arial"/>
          <w:color w:val="222222"/>
          <w:sz w:val="20"/>
          <w:szCs w:val="20"/>
          <w:lang w:val="en-US"/>
        </w:rPr>
        <w:t xml:space="preserve"> of the constitutional minimum in all the </w:t>
      </w:r>
      <w:r>
        <w:rPr>
          <w:rFonts w:ascii="Arial" w:hAnsi="Arial" w:cs="Arial"/>
          <w:color w:val="222222"/>
          <w:sz w:val="20"/>
          <w:szCs w:val="20"/>
          <w:lang w:val="en-US"/>
        </w:rPr>
        <w:t>municipalities</w:t>
      </w:r>
      <w:r w:rsidRPr="00495178">
        <w:rPr>
          <w:rFonts w:ascii="Arial" w:hAnsi="Arial" w:cs="Arial"/>
          <w:color w:val="222222"/>
          <w:sz w:val="20"/>
          <w:szCs w:val="20"/>
          <w:lang w:val="en-US"/>
        </w:rPr>
        <w:t>, regard</w:t>
      </w:r>
      <w:r>
        <w:rPr>
          <w:rFonts w:ascii="Arial" w:hAnsi="Arial" w:cs="Arial"/>
          <w:color w:val="222222"/>
          <w:sz w:val="20"/>
          <w:szCs w:val="20"/>
          <w:lang w:val="en-US"/>
        </w:rPr>
        <w:t xml:space="preserve">ing the years from 2004 to 2010 and </w:t>
      </w:r>
      <w:r w:rsidRPr="002879AC">
        <w:rPr>
          <w:rFonts w:ascii="Arial" w:hAnsi="Arial" w:cs="Arial"/>
          <w:color w:val="222222"/>
          <w:sz w:val="20"/>
          <w:szCs w:val="20"/>
          <w:lang w:val="en-US"/>
        </w:rPr>
        <w:t xml:space="preserve">that the expense </w:t>
      </w:r>
      <w:r w:rsidRPr="006A3805">
        <w:rPr>
          <w:rFonts w:ascii="Arial" w:hAnsi="Arial" w:cs="Arial"/>
          <w:i/>
          <w:color w:val="222222"/>
          <w:sz w:val="20"/>
          <w:szCs w:val="20"/>
          <w:lang w:val="en-US"/>
        </w:rPr>
        <w:t>per capita</w:t>
      </w:r>
      <w:r w:rsidRPr="002879AC">
        <w:rPr>
          <w:rFonts w:ascii="Arial" w:hAnsi="Arial" w:cs="Arial"/>
          <w:color w:val="222222"/>
          <w:sz w:val="20"/>
          <w:szCs w:val="20"/>
          <w:lang w:val="en-US"/>
        </w:rPr>
        <w:t xml:space="preserve"> is bigger in the </w:t>
      </w:r>
      <w:r>
        <w:rPr>
          <w:rFonts w:ascii="Arial" w:hAnsi="Arial" w:cs="Arial"/>
          <w:color w:val="222222"/>
          <w:sz w:val="20"/>
          <w:szCs w:val="20"/>
          <w:lang w:val="en-US"/>
        </w:rPr>
        <w:t>municipality</w:t>
      </w:r>
      <w:r w:rsidRPr="002879AC">
        <w:rPr>
          <w:rFonts w:ascii="Arial" w:hAnsi="Arial" w:cs="Arial"/>
          <w:color w:val="222222"/>
          <w:sz w:val="20"/>
          <w:szCs w:val="20"/>
          <w:lang w:val="en-US"/>
        </w:rPr>
        <w:t xml:space="preserve"> of </w:t>
      </w:r>
      <w:proofErr w:type="spellStart"/>
      <w:r>
        <w:rPr>
          <w:rFonts w:ascii="Arial" w:hAnsi="Arial" w:cs="Arial"/>
          <w:color w:val="222222"/>
          <w:sz w:val="20"/>
          <w:szCs w:val="20"/>
          <w:lang w:val="en-US"/>
        </w:rPr>
        <w:t>Balneário</w:t>
      </w:r>
      <w:proofErr w:type="spellEnd"/>
      <w:r>
        <w:rPr>
          <w:rFonts w:ascii="Arial" w:hAnsi="Arial" w:cs="Arial"/>
          <w:color w:val="222222"/>
          <w:sz w:val="20"/>
          <w:szCs w:val="20"/>
          <w:lang w:val="en-US"/>
        </w:rPr>
        <w:t xml:space="preserve"> </w:t>
      </w:r>
      <w:proofErr w:type="spellStart"/>
      <w:r w:rsidRPr="002879AC">
        <w:rPr>
          <w:rFonts w:ascii="Arial" w:hAnsi="Arial" w:cs="Arial"/>
          <w:color w:val="222222"/>
          <w:sz w:val="20"/>
          <w:szCs w:val="20"/>
          <w:lang w:val="en-US"/>
        </w:rPr>
        <w:t>Camboriu</w:t>
      </w:r>
      <w:proofErr w:type="spellEnd"/>
      <w:r w:rsidRPr="002879AC">
        <w:rPr>
          <w:rFonts w:ascii="Arial" w:hAnsi="Arial" w:cs="Arial"/>
          <w:color w:val="222222"/>
          <w:sz w:val="20"/>
          <w:szCs w:val="20"/>
          <w:lang w:val="en-US"/>
        </w:rPr>
        <w:t xml:space="preserve">, however, in terms of tendency of growth of spent regarding the own resources, the </w:t>
      </w:r>
      <w:r>
        <w:rPr>
          <w:rFonts w:ascii="Arial" w:hAnsi="Arial" w:cs="Arial"/>
          <w:color w:val="222222"/>
          <w:sz w:val="20"/>
          <w:szCs w:val="20"/>
          <w:lang w:val="en-US"/>
        </w:rPr>
        <w:t>municipality</w:t>
      </w:r>
      <w:r w:rsidRPr="002879AC">
        <w:rPr>
          <w:rFonts w:ascii="Arial" w:hAnsi="Arial" w:cs="Arial"/>
          <w:color w:val="222222"/>
          <w:sz w:val="20"/>
          <w:szCs w:val="20"/>
          <w:lang w:val="en-US"/>
        </w:rPr>
        <w:t xml:space="preserve"> of </w:t>
      </w:r>
      <w:proofErr w:type="spellStart"/>
      <w:r w:rsidRPr="002879AC">
        <w:rPr>
          <w:rFonts w:ascii="Arial" w:hAnsi="Arial" w:cs="Arial"/>
          <w:color w:val="222222"/>
          <w:sz w:val="20"/>
          <w:szCs w:val="20"/>
          <w:lang w:val="en-US"/>
        </w:rPr>
        <w:t>Itajaí</w:t>
      </w:r>
      <w:proofErr w:type="spellEnd"/>
      <w:r w:rsidRPr="002879AC">
        <w:rPr>
          <w:rFonts w:ascii="Arial" w:hAnsi="Arial" w:cs="Arial"/>
          <w:color w:val="222222"/>
          <w:sz w:val="20"/>
          <w:szCs w:val="20"/>
          <w:lang w:val="en-US"/>
        </w:rPr>
        <w:t xml:space="preserve"> stands out among the investigated </w:t>
      </w:r>
      <w:r>
        <w:rPr>
          <w:rFonts w:ascii="Arial" w:hAnsi="Arial" w:cs="Arial"/>
          <w:color w:val="222222"/>
          <w:sz w:val="20"/>
          <w:szCs w:val="20"/>
          <w:lang w:val="en-US"/>
        </w:rPr>
        <w:t>municipalities</w:t>
      </w:r>
      <w:r w:rsidRPr="002879AC">
        <w:rPr>
          <w:rFonts w:ascii="Arial" w:hAnsi="Arial" w:cs="Arial"/>
          <w:color w:val="222222"/>
          <w:sz w:val="20"/>
          <w:szCs w:val="20"/>
          <w:lang w:val="en-US"/>
        </w:rPr>
        <w:t>.</w:t>
      </w:r>
    </w:p>
    <w:p w:rsidR="00E25AC7" w:rsidRDefault="00E25AC7" w:rsidP="00E35A58">
      <w:pPr>
        <w:pStyle w:val="SemEspaamento"/>
        <w:rPr>
          <w:rStyle w:val="hps"/>
          <w:rFonts w:ascii="Arial" w:hAnsi="Arial" w:cs="Arial"/>
          <w:sz w:val="20"/>
          <w:szCs w:val="20"/>
          <w:shd w:val="clear" w:color="auto" w:fill="F5F5F5"/>
        </w:rPr>
      </w:pPr>
      <w:r w:rsidRPr="004703C2">
        <w:rPr>
          <w:sz w:val="24"/>
          <w:szCs w:val="24"/>
          <w:lang w:val="en-US" w:eastAsia="pt-BR"/>
        </w:rPr>
        <w:br/>
      </w:r>
      <w:r w:rsidRPr="00E35A58">
        <w:rPr>
          <w:rFonts w:ascii="Arial" w:hAnsi="Arial" w:cs="Arial"/>
          <w:b/>
          <w:bCs/>
          <w:lang w:val="en-US" w:eastAsia="pt-BR"/>
        </w:rPr>
        <w:t xml:space="preserve">Key-words: </w:t>
      </w:r>
      <w:r w:rsidRPr="00E35A58">
        <w:rPr>
          <w:rFonts w:ascii="Arial" w:hAnsi="Arial" w:cs="Arial"/>
          <w:shd w:val="clear" w:color="auto" w:fill="F5F5F5"/>
          <w:lang w:val="en-US"/>
        </w:rPr>
        <w:t xml:space="preserve">Public Finance. Health Economics. </w:t>
      </w:r>
      <w:proofErr w:type="spellStart"/>
      <w:r w:rsidRPr="000E5C5E">
        <w:rPr>
          <w:rFonts w:ascii="Arial" w:hAnsi="Arial" w:cs="Arial"/>
          <w:shd w:val="clear" w:color="auto" w:fill="F5F5F5"/>
        </w:rPr>
        <w:t>P</w:t>
      </w:r>
      <w:r w:rsidRPr="00E35A58">
        <w:rPr>
          <w:rFonts w:ascii="Arial" w:hAnsi="Arial" w:cs="Arial"/>
          <w:color w:val="000000"/>
        </w:rPr>
        <w:t>ublic</w:t>
      </w:r>
      <w:proofErr w:type="spellEnd"/>
      <w:r w:rsidRPr="00E35A58">
        <w:rPr>
          <w:rFonts w:ascii="Arial" w:hAnsi="Arial" w:cs="Arial"/>
          <w:color w:val="000000"/>
        </w:rPr>
        <w:t xml:space="preserve"> </w:t>
      </w:r>
      <w:proofErr w:type="spellStart"/>
      <w:r w:rsidRPr="00E35A58">
        <w:rPr>
          <w:rFonts w:ascii="Arial" w:hAnsi="Arial" w:cs="Arial"/>
          <w:color w:val="000000"/>
        </w:rPr>
        <w:t>health</w:t>
      </w:r>
      <w:proofErr w:type="spellEnd"/>
      <w:r w:rsidRPr="00E35A58">
        <w:rPr>
          <w:rFonts w:ascii="Arial" w:hAnsi="Arial" w:cs="Arial"/>
          <w:color w:val="000000"/>
        </w:rPr>
        <w:t xml:space="preserve"> </w:t>
      </w:r>
      <w:proofErr w:type="spellStart"/>
      <w:r w:rsidRPr="00E35A58">
        <w:rPr>
          <w:rFonts w:ascii="Arial" w:hAnsi="Arial" w:cs="Arial"/>
          <w:color w:val="000000"/>
        </w:rPr>
        <w:t>indicators</w:t>
      </w:r>
      <w:proofErr w:type="spellEnd"/>
      <w:r w:rsidRPr="000E5C5E">
        <w:rPr>
          <w:rStyle w:val="hps"/>
          <w:rFonts w:ascii="Arial" w:hAnsi="Arial" w:cs="Arial"/>
          <w:sz w:val="20"/>
          <w:szCs w:val="20"/>
          <w:shd w:val="clear" w:color="auto" w:fill="F5F5F5"/>
        </w:rPr>
        <w:t>.</w:t>
      </w:r>
    </w:p>
    <w:p w:rsidR="00E25AC7" w:rsidRDefault="00E25AC7" w:rsidP="00E35A58">
      <w:pPr>
        <w:pStyle w:val="SemEspaamento"/>
        <w:rPr>
          <w:rFonts w:ascii="Arial" w:hAnsi="Arial" w:cs="Arial"/>
          <w:b/>
          <w:bCs/>
          <w:lang w:eastAsia="pt-BR"/>
        </w:rPr>
      </w:pPr>
    </w:p>
    <w:p w:rsidR="00E25AC7" w:rsidRPr="008D733C" w:rsidRDefault="00E25AC7" w:rsidP="00D2254D">
      <w:pPr>
        <w:rPr>
          <w:rFonts w:ascii="Arial" w:hAnsi="Arial" w:cs="Arial"/>
          <w:b/>
          <w:bCs/>
          <w:sz w:val="24"/>
          <w:szCs w:val="24"/>
          <w:lang w:eastAsia="pt-BR"/>
        </w:rPr>
      </w:pPr>
      <w:r w:rsidRPr="008D733C">
        <w:rPr>
          <w:rFonts w:ascii="Arial" w:hAnsi="Arial" w:cs="Arial"/>
          <w:b/>
          <w:bCs/>
          <w:sz w:val="24"/>
          <w:szCs w:val="24"/>
          <w:lang w:eastAsia="pt-BR"/>
        </w:rPr>
        <w:lastRenderedPageBreak/>
        <w:t>Introdução</w:t>
      </w:r>
    </w:p>
    <w:p w:rsidR="00E25AC7" w:rsidRDefault="00E25AC7" w:rsidP="00CC17F4">
      <w:pPr>
        <w:spacing w:after="0" w:line="360" w:lineRule="auto"/>
        <w:ind w:firstLine="708"/>
        <w:jc w:val="both"/>
        <w:rPr>
          <w:rFonts w:ascii="Arial" w:hAnsi="Arial" w:cs="Arial"/>
          <w:sz w:val="24"/>
          <w:szCs w:val="24"/>
          <w:lang w:eastAsia="pt-BR"/>
        </w:rPr>
      </w:pPr>
      <w:r w:rsidRPr="00D96591">
        <w:rPr>
          <w:rFonts w:ascii="Arial" w:hAnsi="Arial" w:cs="Arial"/>
          <w:sz w:val="24"/>
          <w:szCs w:val="24"/>
          <w:lang w:eastAsia="pt-BR"/>
        </w:rPr>
        <w:t xml:space="preserve">O presente estudo </w:t>
      </w:r>
      <w:r>
        <w:rPr>
          <w:rFonts w:ascii="Arial" w:hAnsi="Arial" w:cs="Arial"/>
          <w:sz w:val="24"/>
          <w:szCs w:val="24"/>
          <w:lang w:eastAsia="pt-BR"/>
        </w:rPr>
        <w:t xml:space="preserve">apresenta dados de finanças públicas com foco em indicadores financeiros da área da </w:t>
      </w:r>
      <w:r w:rsidRPr="00D96591">
        <w:rPr>
          <w:rFonts w:ascii="Arial" w:hAnsi="Arial" w:cs="Arial"/>
          <w:sz w:val="24"/>
          <w:szCs w:val="24"/>
          <w:lang w:eastAsia="pt-BR"/>
        </w:rPr>
        <w:t>Saúde em Municípios selecionados da Secretaria de Desenvolvimento Regional de Itajaí</w:t>
      </w:r>
      <w:r>
        <w:rPr>
          <w:rFonts w:ascii="Arial" w:hAnsi="Arial" w:cs="Arial"/>
          <w:sz w:val="24"/>
          <w:szCs w:val="24"/>
          <w:lang w:eastAsia="pt-BR"/>
        </w:rPr>
        <w:t xml:space="preserve"> (SDR de Itajaí)</w:t>
      </w:r>
      <w:r w:rsidRPr="00D96591">
        <w:rPr>
          <w:rFonts w:ascii="Arial" w:hAnsi="Arial" w:cs="Arial"/>
          <w:sz w:val="24"/>
          <w:szCs w:val="24"/>
          <w:lang w:eastAsia="pt-BR"/>
        </w:rPr>
        <w:t xml:space="preserve">, Santa Catarina, sendo eles Balneário Camboriú, Itajaí e Itapema, utilizando como base para tanto os resultados das atividades de extensão do Projeto Bússola Municipal, desenvolvido </w:t>
      </w:r>
      <w:r>
        <w:rPr>
          <w:rFonts w:ascii="Arial" w:hAnsi="Arial" w:cs="Arial"/>
          <w:sz w:val="24"/>
          <w:szCs w:val="24"/>
          <w:lang w:eastAsia="pt-BR"/>
        </w:rPr>
        <w:t>no Centro de Ciências da Administração e Socioeconômicas d</w:t>
      </w:r>
      <w:r w:rsidRPr="00D96591">
        <w:rPr>
          <w:rFonts w:ascii="Arial" w:hAnsi="Arial" w:cs="Arial"/>
          <w:sz w:val="24"/>
          <w:szCs w:val="24"/>
          <w:lang w:eastAsia="pt-BR"/>
        </w:rPr>
        <w:t>a Universidade do Es</w:t>
      </w:r>
      <w:r>
        <w:rPr>
          <w:rFonts w:ascii="Arial" w:hAnsi="Arial" w:cs="Arial"/>
          <w:sz w:val="24"/>
          <w:szCs w:val="24"/>
          <w:lang w:eastAsia="pt-BR"/>
        </w:rPr>
        <w:t xml:space="preserve">tado de Santa Catarina (ESAG/UDESC), no departamento do curso de Administração Pública.  </w:t>
      </w:r>
    </w:p>
    <w:p w:rsidR="00E25AC7" w:rsidRDefault="00E25AC7" w:rsidP="00752EC6">
      <w:pPr>
        <w:spacing w:after="0" w:line="360" w:lineRule="auto"/>
        <w:ind w:firstLine="708"/>
        <w:jc w:val="both"/>
        <w:rPr>
          <w:rFonts w:ascii="Arial" w:hAnsi="Arial" w:cs="Arial"/>
          <w:sz w:val="24"/>
          <w:szCs w:val="24"/>
          <w:lang w:eastAsia="pt-BR"/>
        </w:rPr>
      </w:pPr>
      <w:r>
        <w:rPr>
          <w:rFonts w:ascii="Arial" w:hAnsi="Arial" w:cs="Arial"/>
          <w:sz w:val="24"/>
          <w:szCs w:val="24"/>
          <w:lang w:eastAsia="pt-BR"/>
        </w:rPr>
        <w:t>O Projeto Bússola Municipal gerou boletins de indicadores de Finanças Públicas a serem encaminhados aos municípios da SDR de Itajaí em 2012, visando auxiliar a gestão das finanças municipais. E neste artigo, os pesquisadores apresentam de uma forma mais rebuscada do que nos boletins, os indicadores financeiros trabalhados, com vistas a divulgar os resultados para a comunidade acadêmica.  Porém, em virtude do grande número de indicadores pesquisados no referido Projeto, estabeleceu-se apresentar dados da área da saúde pública.</w:t>
      </w:r>
    </w:p>
    <w:p w:rsidR="00E25AC7" w:rsidRPr="008E67F4" w:rsidRDefault="00E25AC7" w:rsidP="00287A81">
      <w:pPr>
        <w:pStyle w:val="SemEspaamento"/>
        <w:spacing w:line="360" w:lineRule="auto"/>
        <w:ind w:firstLine="708"/>
        <w:jc w:val="both"/>
        <w:rPr>
          <w:rFonts w:ascii="Arial" w:hAnsi="Arial" w:cs="Arial"/>
          <w:sz w:val="24"/>
          <w:szCs w:val="24"/>
          <w:lang w:eastAsia="pt-BR"/>
        </w:rPr>
      </w:pPr>
      <w:r>
        <w:rPr>
          <w:rFonts w:ascii="Arial" w:hAnsi="Arial" w:cs="Arial"/>
          <w:sz w:val="24"/>
          <w:szCs w:val="24"/>
          <w:lang w:eastAsia="pt-BR"/>
        </w:rPr>
        <w:t xml:space="preserve">A seleção dos municípios seguiu o critério dos três municípios da SDR de Itajaí com o maior Índice de Desenvolvimento Humano (IDH). </w:t>
      </w:r>
      <w:r w:rsidRPr="00436247">
        <w:rPr>
          <w:rFonts w:ascii="Arial" w:hAnsi="Arial" w:cs="Arial"/>
          <w:sz w:val="24"/>
          <w:szCs w:val="24"/>
          <w:lang w:eastAsia="pt-BR"/>
        </w:rPr>
        <w:t xml:space="preserve">A escolha dos indicadores está ancorada em </w:t>
      </w:r>
      <w:proofErr w:type="spellStart"/>
      <w:r w:rsidRPr="00436247">
        <w:rPr>
          <w:rFonts w:ascii="Arial" w:hAnsi="Arial" w:cs="Arial"/>
          <w:sz w:val="24"/>
          <w:szCs w:val="24"/>
          <w:lang w:eastAsia="pt-BR"/>
        </w:rPr>
        <w:t>Riani</w:t>
      </w:r>
      <w:proofErr w:type="spellEnd"/>
      <w:r w:rsidRPr="00436247">
        <w:rPr>
          <w:rFonts w:ascii="Arial" w:hAnsi="Arial" w:cs="Arial"/>
          <w:sz w:val="24"/>
          <w:szCs w:val="24"/>
          <w:lang w:eastAsia="pt-BR"/>
        </w:rPr>
        <w:t xml:space="preserve"> (2002) que aponta metodologicamente alguns rumos para o cálculo de indicad</w:t>
      </w:r>
      <w:r>
        <w:rPr>
          <w:rFonts w:ascii="Arial" w:hAnsi="Arial" w:cs="Arial"/>
          <w:sz w:val="24"/>
          <w:szCs w:val="24"/>
          <w:lang w:eastAsia="pt-BR"/>
        </w:rPr>
        <w:t>ores, apresentando os I</w:t>
      </w:r>
      <w:r>
        <w:rPr>
          <w:rFonts w:ascii="Arial" w:hAnsi="Arial" w:cs="Arial"/>
          <w:sz w:val="24"/>
          <w:szCs w:val="24"/>
        </w:rPr>
        <w:t xml:space="preserve">ndicadores de </w:t>
      </w:r>
      <w:r w:rsidRPr="00512D1B">
        <w:rPr>
          <w:rFonts w:ascii="Arial" w:hAnsi="Arial" w:cs="Arial"/>
          <w:i/>
          <w:sz w:val="24"/>
          <w:szCs w:val="24"/>
        </w:rPr>
        <w:t>Performance</w:t>
      </w:r>
      <w:r w:rsidRPr="00436247">
        <w:rPr>
          <w:rFonts w:ascii="Arial" w:hAnsi="Arial" w:cs="Arial"/>
          <w:sz w:val="24"/>
          <w:szCs w:val="24"/>
        </w:rPr>
        <w:t xml:space="preserve"> e de </w:t>
      </w:r>
      <w:r>
        <w:rPr>
          <w:rFonts w:ascii="Arial" w:hAnsi="Arial" w:cs="Arial"/>
          <w:sz w:val="24"/>
          <w:szCs w:val="24"/>
        </w:rPr>
        <w:t>R</w:t>
      </w:r>
      <w:r w:rsidRPr="00436247">
        <w:rPr>
          <w:rFonts w:ascii="Arial" w:hAnsi="Arial" w:cs="Arial"/>
          <w:sz w:val="24"/>
          <w:szCs w:val="24"/>
        </w:rPr>
        <w:t xml:space="preserve">esponsabilidade </w:t>
      </w:r>
      <w:r>
        <w:rPr>
          <w:rFonts w:ascii="Arial" w:hAnsi="Arial" w:cs="Arial"/>
          <w:sz w:val="24"/>
          <w:szCs w:val="24"/>
        </w:rPr>
        <w:t>F</w:t>
      </w:r>
      <w:r w:rsidRPr="00436247">
        <w:rPr>
          <w:rFonts w:ascii="Arial" w:hAnsi="Arial" w:cs="Arial"/>
          <w:sz w:val="24"/>
          <w:szCs w:val="24"/>
        </w:rPr>
        <w:t>iscal.  O período escolhido foi a primeira década do século XXI, em função que a</w:t>
      </w:r>
      <w:r>
        <w:rPr>
          <w:rFonts w:ascii="Arial" w:hAnsi="Arial" w:cs="Arial"/>
          <w:sz w:val="24"/>
          <w:szCs w:val="24"/>
        </w:rPr>
        <w:t>s</w:t>
      </w:r>
      <w:r w:rsidRPr="00436247">
        <w:rPr>
          <w:rFonts w:ascii="Arial" w:hAnsi="Arial" w:cs="Arial"/>
          <w:sz w:val="24"/>
          <w:szCs w:val="24"/>
        </w:rPr>
        <w:t xml:space="preserve"> </w:t>
      </w:r>
      <w:proofErr w:type="spellStart"/>
      <w:r w:rsidRPr="00436247">
        <w:rPr>
          <w:rFonts w:ascii="Arial" w:hAnsi="Arial" w:cs="Arial"/>
          <w:sz w:val="24"/>
          <w:szCs w:val="24"/>
        </w:rPr>
        <w:t>SDR</w:t>
      </w:r>
      <w:r>
        <w:rPr>
          <w:rFonts w:ascii="Arial" w:hAnsi="Arial" w:cs="Arial"/>
          <w:sz w:val="24"/>
          <w:szCs w:val="24"/>
        </w:rPr>
        <w:t>s</w:t>
      </w:r>
      <w:proofErr w:type="spellEnd"/>
      <w:r>
        <w:rPr>
          <w:rFonts w:ascii="Arial" w:hAnsi="Arial" w:cs="Arial"/>
          <w:sz w:val="24"/>
          <w:szCs w:val="24"/>
        </w:rPr>
        <w:t xml:space="preserve"> foram criadas</w:t>
      </w:r>
      <w:r w:rsidRPr="00436247">
        <w:rPr>
          <w:rFonts w:ascii="Arial" w:hAnsi="Arial" w:cs="Arial"/>
          <w:sz w:val="24"/>
          <w:szCs w:val="24"/>
        </w:rPr>
        <w:t xml:space="preserve"> no ano de 2003.</w:t>
      </w:r>
      <w:r>
        <w:rPr>
          <w:rFonts w:ascii="Arial" w:hAnsi="Arial" w:cs="Arial"/>
          <w:sz w:val="24"/>
          <w:szCs w:val="24"/>
        </w:rPr>
        <w:t xml:space="preserve"> Os resultados do estudo dos indicadores de Responsabilidade Fiscal apontaram o cumprimento dos limites constitucionais nos três municípios pesquisados. No caso dos Indicadores de </w:t>
      </w:r>
      <w:r w:rsidRPr="00EC6C2F">
        <w:rPr>
          <w:rFonts w:ascii="Arial" w:hAnsi="Arial" w:cs="Arial"/>
          <w:i/>
          <w:sz w:val="24"/>
          <w:szCs w:val="24"/>
        </w:rPr>
        <w:t>Performance</w:t>
      </w:r>
      <w:r>
        <w:rPr>
          <w:rFonts w:ascii="Arial" w:hAnsi="Arial" w:cs="Arial"/>
          <w:sz w:val="24"/>
          <w:szCs w:val="24"/>
        </w:rPr>
        <w:t xml:space="preserve">, o município de Balneário </w:t>
      </w:r>
      <w:proofErr w:type="spellStart"/>
      <w:r>
        <w:rPr>
          <w:rFonts w:ascii="Arial" w:hAnsi="Arial" w:cs="Arial"/>
          <w:sz w:val="24"/>
          <w:szCs w:val="24"/>
        </w:rPr>
        <w:t>Camboriu</w:t>
      </w:r>
      <w:proofErr w:type="spellEnd"/>
      <w:r>
        <w:rPr>
          <w:rFonts w:ascii="Arial" w:hAnsi="Arial" w:cs="Arial"/>
          <w:sz w:val="24"/>
          <w:szCs w:val="24"/>
        </w:rPr>
        <w:t xml:space="preserve"> se destacou no gasto médio </w:t>
      </w:r>
      <w:r w:rsidRPr="00D2254D">
        <w:rPr>
          <w:rFonts w:ascii="Arial" w:hAnsi="Arial" w:cs="Arial"/>
          <w:i/>
          <w:sz w:val="24"/>
          <w:szCs w:val="24"/>
        </w:rPr>
        <w:t>per capita</w:t>
      </w:r>
      <w:r>
        <w:rPr>
          <w:rFonts w:ascii="Arial" w:hAnsi="Arial" w:cs="Arial"/>
          <w:sz w:val="24"/>
          <w:szCs w:val="24"/>
        </w:rPr>
        <w:t xml:space="preserve"> com saúde</w:t>
      </w:r>
      <w:r w:rsidRPr="008E67F4">
        <w:rPr>
          <w:rFonts w:ascii="Arial" w:hAnsi="Arial" w:cs="Arial"/>
          <w:sz w:val="24"/>
          <w:szCs w:val="24"/>
        </w:rPr>
        <w:t xml:space="preserve">, </w:t>
      </w:r>
      <w:r w:rsidRPr="008E67F4">
        <w:rPr>
          <w:rFonts w:ascii="Arial" w:hAnsi="Arial" w:cs="Arial"/>
          <w:sz w:val="24"/>
          <w:szCs w:val="24"/>
          <w:lang w:eastAsia="pt-BR"/>
        </w:rPr>
        <w:t>porém, em termos de tendência de crescimento dos gastos com relação aos recursos próprios, o município de Itajaí destaca-se dentre os municípios pesquisados.</w:t>
      </w:r>
    </w:p>
    <w:p w:rsidR="00E25AC7" w:rsidRDefault="00E25AC7" w:rsidP="008E67F4">
      <w:pPr>
        <w:spacing w:after="0" w:line="360" w:lineRule="auto"/>
        <w:ind w:firstLine="708"/>
        <w:jc w:val="both"/>
        <w:rPr>
          <w:rFonts w:ascii="Arial" w:hAnsi="Arial" w:cs="Arial"/>
          <w:sz w:val="24"/>
          <w:szCs w:val="24"/>
          <w:lang w:eastAsia="pt-BR"/>
        </w:rPr>
      </w:pPr>
      <w:r w:rsidRPr="008E67F4">
        <w:rPr>
          <w:rFonts w:ascii="Arial" w:hAnsi="Arial" w:cs="Arial"/>
          <w:sz w:val="24"/>
          <w:szCs w:val="24"/>
          <w:lang w:eastAsia="pt-BR"/>
        </w:rPr>
        <w:t xml:space="preserve">A estrutura do estudo </w:t>
      </w:r>
      <w:r>
        <w:rPr>
          <w:rFonts w:ascii="Arial" w:hAnsi="Arial" w:cs="Arial"/>
          <w:sz w:val="24"/>
          <w:szCs w:val="24"/>
          <w:lang w:eastAsia="pt-BR"/>
        </w:rPr>
        <w:t>contém a descrição histórica do Sistema Único de Saúde (SUS), a identificação dos percentuais constitucionais destinados à saúde pública, a revisão teórica sobre os indicadores financeiros, enfatizando a importância do uso de indicadores na gestão das Finanças Públicas</w:t>
      </w:r>
      <w:r w:rsidRPr="00452ADD">
        <w:rPr>
          <w:rFonts w:ascii="Arial" w:hAnsi="Arial" w:cs="Arial"/>
          <w:sz w:val="24"/>
          <w:szCs w:val="24"/>
          <w:lang w:eastAsia="pt-BR"/>
        </w:rPr>
        <w:t>. Posteriormente, passa-se aos aspectos metodológicos e, por fim, apresentam-se os resultados obtidos através da atividade de extensão desenvolvida.</w:t>
      </w:r>
    </w:p>
    <w:p w:rsidR="00E25AC7" w:rsidRDefault="00E25AC7" w:rsidP="002309FC">
      <w:pPr>
        <w:spacing w:after="0" w:line="360" w:lineRule="auto"/>
        <w:jc w:val="both"/>
        <w:rPr>
          <w:rFonts w:ascii="Arial" w:hAnsi="Arial" w:cs="Arial"/>
          <w:sz w:val="24"/>
          <w:szCs w:val="24"/>
          <w:lang w:eastAsia="pt-BR"/>
        </w:rPr>
      </w:pPr>
    </w:p>
    <w:p w:rsidR="00E25AC7" w:rsidRDefault="00E25AC7" w:rsidP="002309FC">
      <w:pPr>
        <w:spacing w:after="0" w:line="360" w:lineRule="auto"/>
        <w:jc w:val="both"/>
        <w:rPr>
          <w:rFonts w:ascii="Arial" w:hAnsi="Arial" w:cs="Arial"/>
          <w:b/>
          <w:sz w:val="24"/>
          <w:szCs w:val="24"/>
          <w:lang w:eastAsia="pt-BR"/>
        </w:rPr>
      </w:pPr>
      <w:r>
        <w:rPr>
          <w:rFonts w:ascii="Arial" w:hAnsi="Arial" w:cs="Arial"/>
          <w:b/>
          <w:sz w:val="24"/>
          <w:szCs w:val="24"/>
          <w:lang w:eastAsia="pt-BR"/>
        </w:rPr>
        <w:t>Breves aspectos do histórico e dos indicadores de Saúde Pública</w:t>
      </w:r>
    </w:p>
    <w:p w:rsidR="00E25AC7" w:rsidRDefault="00E25AC7" w:rsidP="002309FC">
      <w:pPr>
        <w:spacing w:after="0" w:line="360" w:lineRule="auto"/>
        <w:jc w:val="both"/>
        <w:rPr>
          <w:rFonts w:ascii="Arial" w:hAnsi="Arial" w:cs="Arial"/>
          <w:sz w:val="24"/>
          <w:szCs w:val="24"/>
          <w:lang w:eastAsia="pt-BR"/>
        </w:rPr>
      </w:pPr>
      <w:r w:rsidRPr="00D165FC">
        <w:rPr>
          <w:rFonts w:ascii="Arial" w:hAnsi="Arial" w:cs="Arial"/>
          <w:sz w:val="24"/>
          <w:szCs w:val="24"/>
          <w:lang w:eastAsia="pt-BR"/>
        </w:rPr>
        <w:tab/>
      </w:r>
      <w:r>
        <w:rPr>
          <w:rFonts w:ascii="Arial" w:hAnsi="Arial" w:cs="Arial"/>
          <w:sz w:val="24"/>
          <w:szCs w:val="24"/>
          <w:lang w:eastAsia="pt-BR"/>
        </w:rPr>
        <w:t>A escolha da apresentação dos indicadores da saúde neste artigo não se deu de forma aleatória, mas pela importância que esta área representa na sociedade. Os governos estão sempre em busca da máxima eficiência na aplicação dos recursos públicos para garantir a qualidade dos serviços dispostos à população. De acordo com Médici (1994, apud Senna, 2012), a eficiência na área da saúde começou a ser debatida entre as décadas de sessenta e setenta do século XX. Por isso, dentre os indicadores acompanhados pelo Projeto Bússola Municipal, a saúde tem seu espaço e sua agenda de pesquisa cativos.</w:t>
      </w:r>
    </w:p>
    <w:p w:rsidR="00E25AC7" w:rsidRPr="00D165FC" w:rsidRDefault="00E25AC7" w:rsidP="001F3552">
      <w:pPr>
        <w:spacing w:after="0" w:line="360" w:lineRule="auto"/>
        <w:ind w:firstLine="708"/>
        <w:jc w:val="both"/>
        <w:rPr>
          <w:rFonts w:ascii="Arial" w:hAnsi="Arial" w:cs="Arial"/>
          <w:sz w:val="24"/>
          <w:szCs w:val="24"/>
          <w:lang w:eastAsia="pt-BR"/>
        </w:rPr>
      </w:pPr>
      <w:r>
        <w:rPr>
          <w:rFonts w:ascii="Arial" w:hAnsi="Arial" w:cs="Arial"/>
          <w:sz w:val="24"/>
          <w:szCs w:val="24"/>
          <w:lang w:eastAsia="pt-BR"/>
        </w:rPr>
        <w:t xml:space="preserve">Para discutir o </w:t>
      </w:r>
      <w:r w:rsidRPr="009D274A">
        <w:rPr>
          <w:rFonts w:ascii="Arial" w:hAnsi="Arial" w:cs="Arial"/>
          <w:i/>
          <w:sz w:val="24"/>
          <w:szCs w:val="24"/>
          <w:lang w:eastAsia="pt-BR"/>
        </w:rPr>
        <w:t>status quo</w:t>
      </w:r>
      <w:r>
        <w:rPr>
          <w:rFonts w:ascii="Arial" w:hAnsi="Arial" w:cs="Arial"/>
          <w:sz w:val="24"/>
          <w:szCs w:val="24"/>
          <w:lang w:eastAsia="pt-BR"/>
        </w:rPr>
        <w:t xml:space="preserve"> da saúde pública é importante entender o processo histórico de sua evolução. Os</w:t>
      </w:r>
      <w:r w:rsidRPr="00D165FC">
        <w:rPr>
          <w:rFonts w:ascii="Arial" w:hAnsi="Arial" w:cs="Arial"/>
          <w:sz w:val="24"/>
          <w:szCs w:val="24"/>
          <w:lang w:eastAsia="pt-BR"/>
        </w:rPr>
        <w:t xml:space="preserve"> primeiros passos em termos de saúd</w:t>
      </w:r>
      <w:r>
        <w:rPr>
          <w:rFonts w:ascii="Arial" w:hAnsi="Arial" w:cs="Arial"/>
          <w:sz w:val="24"/>
          <w:szCs w:val="24"/>
          <w:lang w:eastAsia="pt-BR"/>
        </w:rPr>
        <w:t xml:space="preserve">e que se tem notícia no Brasil, </w:t>
      </w:r>
      <w:r w:rsidRPr="00D165FC">
        <w:rPr>
          <w:rFonts w:ascii="Arial" w:hAnsi="Arial" w:cs="Arial"/>
          <w:sz w:val="24"/>
          <w:szCs w:val="24"/>
          <w:lang w:eastAsia="pt-BR"/>
        </w:rPr>
        <w:t>deram-se após a vinda da Família Real portuguesa, quando foram criadas as primeiras instituições de ensino de medicina. Entretanto, no período colonial e imperial nenhuma medida efetiva de solução para os problemas de saúde pública mostraram-se suficientes (BRASIL, 2011, p. 10-11).</w:t>
      </w:r>
    </w:p>
    <w:p w:rsidR="00E25AC7" w:rsidRPr="00452ADD" w:rsidRDefault="00E25AC7" w:rsidP="002309FC">
      <w:pPr>
        <w:spacing w:after="0" w:line="360" w:lineRule="auto"/>
        <w:ind w:left="15" w:firstLine="705"/>
        <w:jc w:val="both"/>
        <w:rPr>
          <w:rFonts w:ascii="Arial" w:hAnsi="Arial" w:cs="Arial"/>
          <w:sz w:val="24"/>
          <w:szCs w:val="24"/>
          <w:lang w:eastAsia="pt-BR"/>
        </w:rPr>
      </w:pPr>
      <w:r w:rsidRPr="00452ADD">
        <w:rPr>
          <w:rFonts w:ascii="Arial" w:hAnsi="Arial" w:cs="Arial"/>
          <w:sz w:val="24"/>
          <w:szCs w:val="24"/>
          <w:lang w:eastAsia="pt-BR"/>
        </w:rPr>
        <w:t xml:space="preserve">No referido período, também foi criada a Junta de Higiene Pública, que, posteriormente, por não alcançar os objetivos a que se propunha, foi transformada </w:t>
      </w:r>
      <w:smartTag w:uri="urn:schemas-microsoft-com:office:smarttags" w:element="PersonName">
        <w:smartTagPr>
          <w:attr w:name="ProductID" w:val="em Junta Central"/>
        </w:smartTagPr>
        <w:r w:rsidRPr="00452ADD">
          <w:rPr>
            <w:rFonts w:ascii="Arial" w:hAnsi="Arial" w:cs="Arial"/>
            <w:sz w:val="24"/>
            <w:szCs w:val="24"/>
            <w:lang w:eastAsia="pt-BR"/>
          </w:rPr>
          <w:t>em Junta Central</w:t>
        </w:r>
      </w:smartTag>
      <w:r w:rsidRPr="00452ADD">
        <w:rPr>
          <w:rFonts w:ascii="Arial" w:hAnsi="Arial" w:cs="Arial"/>
          <w:sz w:val="24"/>
          <w:szCs w:val="24"/>
          <w:lang w:eastAsia="pt-BR"/>
        </w:rPr>
        <w:t xml:space="preserve"> de Higiene Pública, que possuía como finalidades a fiscalização da atuação dos médicos, da vacinação e dos demais segmentos onde se realizavam atividades relacionadas à saúde (MACHADO </w:t>
      </w:r>
      <w:r w:rsidRPr="00452ADD">
        <w:rPr>
          <w:rFonts w:ascii="Arial" w:hAnsi="Arial" w:cs="Arial"/>
          <w:i/>
          <w:iCs/>
          <w:sz w:val="24"/>
          <w:szCs w:val="24"/>
          <w:lang w:eastAsia="pt-BR"/>
        </w:rPr>
        <w:t xml:space="preserve">apud </w:t>
      </w:r>
      <w:r w:rsidRPr="00452ADD">
        <w:rPr>
          <w:rFonts w:ascii="Arial" w:hAnsi="Arial" w:cs="Arial"/>
          <w:sz w:val="24"/>
          <w:szCs w:val="24"/>
          <w:lang w:eastAsia="pt-BR"/>
        </w:rPr>
        <w:t>BRASIL, 2011, p.11).</w:t>
      </w:r>
    </w:p>
    <w:p w:rsidR="00E25AC7" w:rsidRPr="00452ADD" w:rsidRDefault="00E25AC7" w:rsidP="00593B24">
      <w:pPr>
        <w:spacing w:after="0" w:line="360" w:lineRule="auto"/>
        <w:ind w:left="15"/>
        <w:jc w:val="both"/>
        <w:rPr>
          <w:rFonts w:ascii="Arial" w:hAnsi="Arial" w:cs="Arial"/>
          <w:sz w:val="24"/>
          <w:szCs w:val="24"/>
          <w:lang w:eastAsia="pt-BR"/>
        </w:rPr>
      </w:pPr>
      <w:r w:rsidRPr="00D96591">
        <w:rPr>
          <w:rFonts w:ascii="Arial" w:hAnsi="Arial" w:cs="Arial"/>
          <w:sz w:val="24"/>
          <w:szCs w:val="24"/>
          <w:lang w:eastAsia="pt-BR"/>
        </w:rPr>
        <w:tab/>
      </w:r>
      <w:r w:rsidRPr="00452ADD">
        <w:rPr>
          <w:rFonts w:ascii="Arial" w:hAnsi="Arial" w:cs="Arial"/>
          <w:sz w:val="24"/>
          <w:szCs w:val="24"/>
          <w:lang w:eastAsia="pt-BR"/>
        </w:rPr>
        <w:t xml:space="preserve">Após o período colonial e imperial, as mudanças na sociedade e a preocupação com a ausência de medidas do Estado neste campo, culminaram com a promulgação da Constituição de 1891, que trouxe em seu bojo os Estados como agentes responsáveis pelas ações relacionadas a promoção da saúde pública. Em decorrência disto, e das epidemias cada vez mais constantes, surge o Instituto Soroterápico Federal (atualmente denominado Fundação Oswaldo Cruz), inicia-se uma Reforma Sanitária e promulga-se a Lei </w:t>
      </w:r>
      <w:proofErr w:type="spellStart"/>
      <w:r w:rsidRPr="00452ADD">
        <w:rPr>
          <w:rFonts w:ascii="Arial" w:hAnsi="Arial" w:cs="Arial"/>
          <w:sz w:val="24"/>
          <w:szCs w:val="24"/>
          <w:lang w:eastAsia="pt-BR"/>
        </w:rPr>
        <w:t>Eloi</w:t>
      </w:r>
      <w:proofErr w:type="spellEnd"/>
      <w:r w:rsidRPr="00452ADD">
        <w:rPr>
          <w:rFonts w:ascii="Arial" w:hAnsi="Arial" w:cs="Arial"/>
          <w:sz w:val="24"/>
          <w:szCs w:val="24"/>
          <w:lang w:eastAsia="pt-BR"/>
        </w:rPr>
        <w:t xml:space="preserve"> Chaves, momentos que propiciaram o surgimento de princípios basilares para a instituição de um Sistema Nacional de Saúde (BRASIL, 2011, p. 11-13).</w:t>
      </w:r>
    </w:p>
    <w:p w:rsidR="00E25AC7" w:rsidRPr="00452ADD" w:rsidRDefault="00E25AC7" w:rsidP="00593B24">
      <w:pPr>
        <w:spacing w:after="0" w:line="360" w:lineRule="auto"/>
        <w:ind w:left="15"/>
        <w:jc w:val="both"/>
        <w:rPr>
          <w:rFonts w:ascii="Arial" w:hAnsi="Arial" w:cs="Arial"/>
          <w:sz w:val="24"/>
          <w:szCs w:val="24"/>
          <w:lang w:eastAsia="pt-BR"/>
        </w:rPr>
      </w:pPr>
      <w:r w:rsidRPr="00D96591">
        <w:rPr>
          <w:rFonts w:ascii="Arial" w:hAnsi="Arial" w:cs="Arial"/>
          <w:sz w:val="24"/>
          <w:szCs w:val="24"/>
          <w:lang w:eastAsia="pt-BR"/>
        </w:rPr>
        <w:tab/>
      </w:r>
      <w:r w:rsidRPr="00452ADD">
        <w:rPr>
          <w:rFonts w:ascii="Arial" w:hAnsi="Arial" w:cs="Arial"/>
          <w:sz w:val="24"/>
          <w:szCs w:val="24"/>
          <w:lang w:eastAsia="pt-BR"/>
        </w:rPr>
        <w:t xml:space="preserve">No tocante a Lei </w:t>
      </w:r>
      <w:proofErr w:type="spellStart"/>
      <w:r w:rsidRPr="00452ADD">
        <w:rPr>
          <w:rFonts w:ascii="Arial" w:hAnsi="Arial" w:cs="Arial"/>
          <w:sz w:val="24"/>
          <w:szCs w:val="24"/>
          <w:lang w:eastAsia="pt-BR"/>
        </w:rPr>
        <w:t>Eloi</w:t>
      </w:r>
      <w:proofErr w:type="spellEnd"/>
      <w:r w:rsidRPr="00452ADD">
        <w:rPr>
          <w:rFonts w:ascii="Arial" w:hAnsi="Arial" w:cs="Arial"/>
          <w:sz w:val="24"/>
          <w:szCs w:val="24"/>
          <w:lang w:eastAsia="pt-BR"/>
        </w:rPr>
        <w:t xml:space="preserve"> Chaves, cabe salientar que</w:t>
      </w:r>
      <w:r>
        <w:rPr>
          <w:rFonts w:ascii="Arial" w:hAnsi="Arial" w:cs="Arial"/>
          <w:sz w:val="24"/>
          <w:szCs w:val="24"/>
          <w:lang w:eastAsia="pt-BR"/>
        </w:rPr>
        <w:t>:</w:t>
      </w:r>
      <w:r w:rsidRPr="00452ADD">
        <w:rPr>
          <w:rFonts w:ascii="Arial" w:hAnsi="Arial" w:cs="Arial"/>
          <w:sz w:val="24"/>
          <w:szCs w:val="24"/>
          <w:lang w:eastAsia="pt-BR"/>
        </w:rPr>
        <w:t xml:space="preserve"> </w:t>
      </w:r>
    </w:p>
    <w:p w:rsidR="00E25AC7" w:rsidRPr="00452ADD" w:rsidRDefault="00E25AC7" w:rsidP="00593B24">
      <w:pPr>
        <w:spacing w:after="0" w:line="360" w:lineRule="auto"/>
        <w:jc w:val="both"/>
        <w:rPr>
          <w:rFonts w:ascii="Arial" w:hAnsi="Arial" w:cs="Arial"/>
          <w:sz w:val="24"/>
          <w:szCs w:val="24"/>
          <w:lang w:eastAsia="pt-BR"/>
        </w:rPr>
      </w:pPr>
    </w:p>
    <w:p w:rsidR="00E25AC7" w:rsidRPr="00990536" w:rsidRDefault="00E25AC7" w:rsidP="00990536">
      <w:pPr>
        <w:spacing w:after="0" w:line="240" w:lineRule="auto"/>
        <w:ind w:left="2268"/>
        <w:jc w:val="both"/>
        <w:rPr>
          <w:rFonts w:ascii="Arial" w:hAnsi="Arial" w:cs="Arial"/>
          <w:sz w:val="20"/>
          <w:szCs w:val="20"/>
          <w:lang w:eastAsia="pt-BR"/>
        </w:rPr>
      </w:pPr>
      <w:r w:rsidRPr="00990536">
        <w:rPr>
          <w:rFonts w:ascii="Arial" w:hAnsi="Arial" w:cs="Arial"/>
          <w:sz w:val="20"/>
          <w:szCs w:val="20"/>
          <w:lang w:eastAsia="pt-BR"/>
        </w:rPr>
        <w:t xml:space="preserve">As medidas de proteção social e, em particular, a assistência médica só viriam a ter reconhecimento legal como política pública com a aprovação da Lei </w:t>
      </w:r>
      <w:proofErr w:type="spellStart"/>
      <w:r w:rsidRPr="00990536">
        <w:rPr>
          <w:rFonts w:ascii="Arial" w:hAnsi="Arial" w:cs="Arial"/>
          <w:sz w:val="20"/>
          <w:szCs w:val="20"/>
          <w:lang w:eastAsia="pt-BR"/>
        </w:rPr>
        <w:t>Eloi</w:t>
      </w:r>
      <w:proofErr w:type="spellEnd"/>
      <w:r w:rsidRPr="00990536">
        <w:rPr>
          <w:rFonts w:ascii="Arial" w:hAnsi="Arial" w:cs="Arial"/>
          <w:sz w:val="20"/>
          <w:szCs w:val="20"/>
          <w:lang w:eastAsia="pt-BR"/>
        </w:rPr>
        <w:t xml:space="preserve"> Chaves, de 1923, resultado do crescente impacto do que passou a </w:t>
      </w:r>
      <w:r w:rsidRPr="00990536">
        <w:rPr>
          <w:rFonts w:ascii="Arial" w:hAnsi="Arial" w:cs="Arial"/>
          <w:sz w:val="20"/>
          <w:szCs w:val="20"/>
          <w:lang w:eastAsia="pt-BR"/>
        </w:rPr>
        <w:lastRenderedPageBreak/>
        <w:t>ser definido como a questão social no país. Até então, muitas categorias de trabalhadores organizavam associações de auxílio mútuo para lidar com problemas de invalidez, doença e morte. (BRASIL, 2011, p. 13)</w:t>
      </w:r>
    </w:p>
    <w:p w:rsidR="00E25AC7" w:rsidRPr="00452ADD" w:rsidRDefault="00E25AC7" w:rsidP="00DE4A7C">
      <w:pPr>
        <w:spacing w:after="0" w:line="360" w:lineRule="auto"/>
        <w:rPr>
          <w:rFonts w:ascii="Arial" w:hAnsi="Arial" w:cs="Arial"/>
          <w:sz w:val="24"/>
          <w:szCs w:val="24"/>
          <w:lang w:eastAsia="pt-BR"/>
        </w:rPr>
      </w:pPr>
    </w:p>
    <w:p w:rsidR="00E25AC7" w:rsidRPr="00452ADD" w:rsidRDefault="00E25AC7" w:rsidP="00DE4A7C">
      <w:pPr>
        <w:spacing w:after="0" w:line="360" w:lineRule="auto"/>
        <w:ind w:left="15"/>
        <w:jc w:val="both"/>
        <w:rPr>
          <w:rFonts w:ascii="Arial" w:hAnsi="Arial" w:cs="Arial"/>
          <w:sz w:val="24"/>
          <w:szCs w:val="24"/>
          <w:lang w:eastAsia="pt-BR"/>
        </w:rPr>
      </w:pPr>
      <w:r w:rsidRPr="00D96591">
        <w:rPr>
          <w:rFonts w:ascii="Arial" w:hAnsi="Arial" w:cs="Arial"/>
          <w:sz w:val="24"/>
          <w:szCs w:val="24"/>
          <w:lang w:eastAsia="pt-BR"/>
        </w:rPr>
        <w:tab/>
      </w:r>
      <w:r w:rsidRPr="00452ADD">
        <w:rPr>
          <w:rFonts w:ascii="Arial" w:hAnsi="Arial" w:cs="Arial"/>
          <w:sz w:val="24"/>
          <w:szCs w:val="24"/>
          <w:lang w:eastAsia="pt-BR"/>
        </w:rPr>
        <w:t>Em seguida, temos o início da gestão de Getúlio Vargas, a Constituição de 1937 e o advento do Ministério de Educação e Saúde Pública (MESP). Segundo HOCHMAN (2005, p. 4),</w:t>
      </w:r>
    </w:p>
    <w:p w:rsidR="00E25AC7" w:rsidRPr="00452ADD" w:rsidRDefault="00E25AC7" w:rsidP="00DE4A7C">
      <w:pPr>
        <w:spacing w:after="0" w:line="360" w:lineRule="auto"/>
        <w:rPr>
          <w:rFonts w:ascii="Arial" w:hAnsi="Arial" w:cs="Arial"/>
          <w:sz w:val="24"/>
          <w:szCs w:val="24"/>
          <w:lang w:eastAsia="pt-BR"/>
        </w:rPr>
      </w:pPr>
    </w:p>
    <w:p w:rsidR="00E25AC7" w:rsidRPr="00452ADD" w:rsidRDefault="00E25AC7" w:rsidP="00990536">
      <w:pPr>
        <w:spacing w:after="0" w:line="240" w:lineRule="auto"/>
        <w:ind w:left="2268"/>
        <w:jc w:val="both"/>
        <w:rPr>
          <w:rFonts w:ascii="Arial" w:hAnsi="Arial" w:cs="Arial"/>
          <w:sz w:val="20"/>
          <w:szCs w:val="20"/>
          <w:lang w:eastAsia="pt-BR"/>
        </w:rPr>
      </w:pPr>
      <w:r w:rsidRPr="00452ADD">
        <w:rPr>
          <w:rFonts w:ascii="Arial" w:hAnsi="Arial" w:cs="Arial"/>
          <w:sz w:val="20"/>
          <w:szCs w:val="20"/>
          <w:lang w:eastAsia="pt-BR"/>
        </w:rPr>
        <w:t>Inicialmente, a criação do Ministério não trouxe nenhuma alteração para a saúde pública, significando apenas a incorporação do já existente Departamento Nacional de Saúde Pública (DNSP), criado em 1920. Posteriormente, foi sofrendo modificações provisórias por meio de uma legislação fragmentada e que atendia somente às necessidades conjunturais. No final do ano de 1930, já haviam sido delineadas algumas das diretrizes que orientariam a reforma administrativa implementada por Vargas: fortalecer a organização administrativa federal e introduzir medidas de racionalização administrativa.</w:t>
      </w:r>
    </w:p>
    <w:p w:rsidR="00E25AC7" w:rsidRPr="00452ADD" w:rsidRDefault="00E25AC7" w:rsidP="00DE4A7C">
      <w:pPr>
        <w:spacing w:after="0" w:line="360" w:lineRule="auto"/>
        <w:rPr>
          <w:rFonts w:ascii="Arial" w:hAnsi="Arial" w:cs="Arial"/>
          <w:sz w:val="24"/>
          <w:szCs w:val="24"/>
          <w:lang w:eastAsia="pt-BR"/>
        </w:rPr>
      </w:pPr>
    </w:p>
    <w:p w:rsidR="00E25AC7" w:rsidRPr="00452ADD" w:rsidRDefault="00E25AC7" w:rsidP="00DE4A7C">
      <w:pPr>
        <w:spacing w:after="0" w:line="360" w:lineRule="auto"/>
        <w:ind w:left="15" w:firstLine="720"/>
        <w:jc w:val="both"/>
        <w:rPr>
          <w:rFonts w:ascii="Arial" w:hAnsi="Arial" w:cs="Arial"/>
          <w:sz w:val="24"/>
          <w:szCs w:val="24"/>
          <w:lang w:eastAsia="pt-BR"/>
        </w:rPr>
      </w:pPr>
      <w:r w:rsidRPr="00452ADD">
        <w:rPr>
          <w:rFonts w:ascii="Arial" w:hAnsi="Arial" w:cs="Arial"/>
          <w:sz w:val="24"/>
          <w:szCs w:val="24"/>
          <w:lang w:eastAsia="pt-BR"/>
        </w:rPr>
        <w:t>Ainda neste período, ocorreram duas reformas de suma importância para melhorias na saúde. A primeira, em 1937, transformou o referido Ministério que passou ser denominado Ministério da Educação e da Saúde (MEP). A segunda, em 1947, adveio “com a criação dos Serviços Nacionais, que verticalizaram as campanhas de combate a doenças específicas e às grandes endemias” (HOCHMAN, 2005, p. 5).</w:t>
      </w:r>
    </w:p>
    <w:p w:rsidR="00E25AC7" w:rsidRPr="00452ADD" w:rsidRDefault="00E25AC7" w:rsidP="00DE4A7C">
      <w:pPr>
        <w:spacing w:after="0" w:line="360" w:lineRule="auto"/>
        <w:ind w:left="15" w:firstLine="720"/>
        <w:jc w:val="both"/>
        <w:rPr>
          <w:rFonts w:ascii="Arial" w:hAnsi="Arial" w:cs="Arial"/>
          <w:sz w:val="24"/>
          <w:szCs w:val="24"/>
          <w:lang w:eastAsia="pt-BR"/>
        </w:rPr>
      </w:pPr>
      <w:r w:rsidRPr="00452ADD">
        <w:rPr>
          <w:rFonts w:ascii="Arial" w:hAnsi="Arial" w:cs="Arial"/>
          <w:sz w:val="24"/>
          <w:szCs w:val="24"/>
          <w:lang w:eastAsia="pt-BR"/>
        </w:rPr>
        <w:t>Com a evolução das ações relacionadas à saúde, enumeram-se como pontos importantes do período:</w:t>
      </w:r>
    </w:p>
    <w:p w:rsidR="00E25AC7" w:rsidRPr="00452ADD" w:rsidRDefault="00E25AC7" w:rsidP="006D60C3">
      <w:pPr>
        <w:spacing w:after="0" w:line="240" w:lineRule="auto"/>
        <w:rPr>
          <w:rFonts w:ascii="Arial" w:hAnsi="Arial" w:cs="Arial"/>
          <w:sz w:val="24"/>
          <w:szCs w:val="24"/>
          <w:lang w:eastAsia="pt-BR"/>
        </w:rPr>
      </w:pPr>
    </w:p>
    <w:p w:rsidR="00E25AC7" w:rsidRPr="00452ADD" w:rsidRDefault="00E25AC7" w:rsidP="00990536">
      <w:pPr>
        <w:spacing w:after="0" w:line="240" w:lineRule="auto"/>
        <w:ind w:left="2268"/>
        <w:jc w:val="both"/>
        <w:rPr>
          <w:rFonts w:ascii="Arial" w:hAnsi="Arial" w:cs="Arial"/>
          <w:sz w:val="20"/>
          <w:szCs w:val="20"/>
          <w:lang w:eastAsia="pt-BR"/>
        </w:rPr>
      </w:pPr>
      <w:r w:rsidRPr="00452ADD">
        <w:rPr>
          <w:rFonts w:ascii="Arial" w:hAnsi="Arial" w:cs="Arial"/>
          <w:sz w:val="20"/>
          <w:szCs w:val="20"/>
          <w:lang w:eastAsia="pt-BR"/>
        </w:rPr>
        <w:t>1.criação do Ministério da Saúde, em 1953, velha aspiração dos médicos da saúde pública;</w:t>
      </w:r>
    </w:p>
    <w:p w:rsidR="00E25AC7" w:rsidRPr="00452ADD" w:rsidRDefault="00E25AC7" w:rsidP="00990536">
      <w:pPr>
        <w:spacing w:after="0" w:line="240" w:lineRule="auto"/>
        <w:ind w:left="2268"/>
        <w:jc w:val="both"/>
        <w:rPr>
          <w:rFonts w:ascii="Arial" w:hAnsi="Arial" w:cs="Arial"/>
          <w:sz w:val="20"/>
          <w:szCs w:val="20"/>
          <w:lang w:eastAsia="pt-BR"/>
        </w:rPr>
      </w:pPr>
      <w:r w:rsidRPr="00452ADD">
        <w:rPr>
          <w:rFonts w:ascii="Arial" w:hAnsi="Arial" w:cs="Arial"/>
          <w:sz w:val="20"/>
          <w:szCs w:val="20"/>
          <w:lang w:eastAsia="pt-BR"/>
        </w:rPr>
        <w:t>2. reorganização dos serviços nacionais no Departamento Nacional de Endemias Rurais (</w:t>
      </w:r>
      <w:proofErr w:type="spellStart"/>
      <w:r w:rsidRPr="00452ADD">
        <w:rPr>
          <w:rFonts w:ascii="Arial" w:hAnsi="Arial" w:cs="Arial"/>
          <w:sz w:val="20"/>
          <w:szCs w:val="20"/>
          <w:lang w:eastAsia="pt-BR"/>
        </w:rPr>
        <w:t>DNERu</w:t>
      </w:r>
      <w:proofErr w:type="spellEnd"/>
      <w:r w:rsidRPr="00452ADD">
        <w:rPr>
          <w:rFonts w:ascii="Arial" w:hAnsi="Arial" w:cs="Arial"/>
          <w:sz w:val="20"/>
          <w:szCs w:val="20"/>
          <w:lang w:eastAsia="pt-BR"/>
        </w:rPr>
        <w:t>), em 1956;</w:t>
      </w:r>
    </w:p>
    <w:p w:rsidR="00E25AC7" w:rsidRPr="00452ADD" w:rsidRDefault="00E25AC7" w:rsidP="00990536">
      <w:pPr>
        <w:spacing w:after="0" w:line="240" w:lineRule="auto"/>
        <w:ind w:left="2268"/>
        <w:jc w:val="both"/>
        <w:rPr>
          <w:rFonts w:ascii="Arial" w:hAnsi="Arial" w:cs="Arial"/>
          <w:sz w:val="20"/>
          <w:szCs w:val="20"/>
          <w:lang w:eastAsia="pt-BR"/>
        </w:rPr>
      </w:pPr>
      <w:r w:rsidRPr="00452ADD">
        <w:rPr>
          <w:rFonts w:ascii="Arial" w:hAnsi="Arial" w:cs="Arial"/>
          <w:sz w:val="20"/>
          <w:szCs w:val="20"/>
          <w:lang w:eastAsia="pt-BR"/>
        </w:rPr>
        <w:t>3. implementação da campanha nacional contra a lepra e das campanhas de controle e erradicação de doenças, como a malária, de 1958 a 1964;</w:t>
      </w:r>
    </w:p>
    <w:p w:rsidR="00E25AC7" w:rsidRDefault="00E25AC7" w:rsidP="00990536">
      <w:pPr>
        <w:spacing w:after="0" w:line="240" w:lineRule="auto"/>
        <w:ind w:left="2268"/>
        <w:jc w:val="both"/>
        <w:rPr>
          <w:rFonts w:ascii="Arial" w:hAnsi="Arial" w:cs="Arial"/>
          <w:sz w:val="20"/>
          <w:szCs w:val="20"/>
          <w:lang w:eastAsia="pt-BR"/>
        </w:rPr>
      </w:pPr>
      <w:r w:rsidRPr="00452ADD">
        <w:rPr>
          <w:rFonts w:ascii="Arial" w:hAnsi="Arial" w:cs="Arial"/>
          <w:sz w:val="20"/>
          <w:szCs w:val="20"/>
          <w:lang w:eastAsia="pt-BR"/>
        </w:rPr>
        <w:t>4. realização da 3ª Conferência Nacional de Saúde, em 1963. (BRASIL, 2011, p. 15)</w:t>
      </w:r>
    </w:p>
    <w:p w:rsidR="00E25AC7" w:rsidRPr="00452ADD" w:rsidRDefault="00E25AC7" w:rsidP="00990536">
      <w:pPr>
        <w:spacing w:after="0" w:line="240" w:lineRule="auto"/>
        <w:ind w:left="2268"/>
        <w:jc w:val="both"/>
        <w:rPr>
          <w:rFonts w:ascii="Arial" w:hAnsi="Arial" w:cs="Arial"/>
          <w:sz w:val="20"/>
          <w:szCs w:val="20"/>
          <w:lang w:eastAsia="pt-BR"/>
        </w:rPr>
      </w:pPr>
    </w:p>
    <w:p w:rsidR="00E25AC7" w:rsidRPr="00452ADD" w:rsidRDefault="00E25AC7" w:rsidP="006D60C3">
      <w:pPr>
        <w:spacing w:after="0" w:line="360" w:lineRule="auto"/>
        <w:ind w:left="15"/>
        <w:jc w:val="both"/>
        <w:rPr>
          <w:rFonts w:ascii="Arial" w:hAnsi="Arial" w:cs="Arial"/>
          <w:sz w:val="24"/>
          <w:szCs w:val="24"/>
          <w:lang w:eastAsia="pt-BR"/>
        </w:rPr>
      </w:pPr>
      <w:r w:rsidRPr="00D96591">
        <w:rPr>
          <w:rFonts w:ascii="Arial" w:hAnsi="Arial" w:cs="Arial"/>
          <w:sz w:val="24"/>
          <w:szCs w:val="24"/>
          <w:lang w:eastAsia="pt-BR"/>
        </w:rPr>
        <w:tab/>
      </w:r>
      <w:r w:rsidRPr="00452ADD">
        <w:rPr>
          <w:rFonts w:ascii="Arial" w:hAnsi="Arial" w:cs="Arial"/>
          <w:sz w:val="24"/>
          <w:szCs w:val="24"/>
          <w:lang w:eastAsia="pt-BR"/>
        </w:rPr>
        <w:t>Outros momentos importantes foram a 3º Conferência Nacional de Saúde (1963), o Sistema Nacional de Saúde (período militar, 1964 - 1984), os Departamentos de Medicina Preventiva e a Lei da Reforma Universitária na década de 60, o Sistema Unificado e Descentralizado de Saúde (1987) (BRASIL, 2011, p. 15 -23).</w:t>
      </w:r>
      <w:r>
        <w:rPr>
          <w:rFonts w:ascii="Arial" w:hAnsi="Arial" w:cs="Arial"/>
          <w:sz w:val="24"/>
          <w:szCs w:val="24"/>
          <w:lang w:eastAsia="pt-BR"/>
        </w:rPr>
        <w:t xml:space="preserve"> </w:t>
      </w:r>
      <w:r w:rsidRPr="00452ADD">
        <w:rPr>
          <w:rFonts w:ascii="Arial" w:hAnsi="Arial" w:cs="Arial"/>
          <w:sz w:val="24"/>
          <w:szCs w:val="24"/>
          <w:lang w:eastAsia="pt-BR"/>
        </w:rPr>
        <w:t>Em 1988, a Constituição da República, ao tratar de saúde, insculpiu no art. 196:</w:t>
      </w:r>
    </w:p>
    <w:p w:rsidR="00E25AC7" w:rsidRPr="00452ADD" w:rsidRDefault="00E25AC7" w:rsidP="00DE4A7C">
      <w:pPr>
        <w:spacing w:after="0" w:line="360" w:lineRule="auto"/>
        <w:rPr>
          <w:rFonts w:ascii="Arial" w:hAnsi="Arial" w:cs="Arial"/>
          <w:sz w:val="24"/>
          <w:szCs w:val="24"/>
          <w:lang w:eastAsia="pt-BR"/>
        </w:rPr>
      </w:pPr>
    </w:p>
    <w:p w:rsidR="00E25AC7" w:rsidRPr="00452ADD" w:rsidRDefault="00E25AC7" w:rsidP="00990536">
      <w:pPr>
        <w:spacing w:after="0" w:line="240" w:lineRule="auto"/>
        <w:ind w:left="2268"/>
        <w:jc w:val="both"/>
        <w:rPr>
          <w:rFonts w:ascii="Arial" w:hAnsi="Arial" w:cs="Arial"/>
          <w:sz w:val="20"/>
          <w:szCs w:val="20"/>
          <w:lang w:eastAsia="pt-BR"/>
        </w:rPr>
      </w:pPr>
      <w:r w:rsidRPr="00452ADD">
        <w:rPr>
          <w:rFonts w:ascii="Arial" w:hAnsi="Arial" w:cs="Arial"/>
          <w:sz w:val="20"/>
          <w:szCs w:val="20"/>
          <w:shd w:val="clear" w:color="auto" w:fill="FFFFFF"/>
          <w:lang w:eastAsia="pt-BR"/>
        </w:rPr>
        <w:lastRenderedPageBreak/>
        <w:t>Art. 196. A saúde é direito de todos e dever do Estado, garantido mediante políticas sociais e econômicas que visem à redução do risco de doença e de outros agravos e ao acesso universal e igualitário às ações e serviços para sua promoção, proteção e recuperação.</w:t>
      </w:r>
    </w:p>
    <w:p w:rsidR="00E25AC7" w:rsidRPr="00452ADD" w:rsidRDefault="00E25AC7" w:rsidP="00DE4A7C">
      <w:pPr>
        <w:spacing w:after="0" w:line="360" w:lineRule="auto"/>
        <w:rPr>
          <w:rFonts w:ascii="Arial" w:hAnsi="Arial" w:cs="Arial"/>
          <w:sz w:val="24"/>
          <w:szCs w:val="24"/>
          <w:lang w:eastAsia="pt-BR"/>
        </w:rPr>
      </w:pPr>
    </w:p>
    <w:p w:rsidR="00E25AC7" w:rsidRPr="00452ADD" w:rsidRDefault="00E25AC7" w:rsidP="00DE4A7C">
      <w:pPr>
        <w:spacing w:after="0" w:line="360" w:lineRule="auto"/>
        <w:ind w:left="15" w:firstLine="720"/>
        <w:jc w:val="both"/>
        <w:rPr>
          <w:rFonts w:ascii="Arial" w:hAnsi="Arial" w:cs="Arial"/>
          <w:sz w:val="24"/>
          <w:szCs w:val="24"/>
          <w:lang w:eastAsia="pt-BR"/>
        </w:rPr>
      </w:pPr>
      <w:r w:rsidRPr="00452ADD">
        <w:rPr>
          <w:rFonts w:ascii="Arial" w:hAnsi="Arial" w:cs="Arial"/>
          <w:sz w:val="24"/>
          <w:szCs w:val="24"/>
          <w:lang w:eastAsia="pt-BR"/>
        </w:rPr>
        <w:t>Neste liame, ao estabelecer a saúde como dever de todos, o constituinte não imputou a responsa</w:t>
      </w:r>
      <w:r>
        <w:rPr>
          <w:rFonts w:ascii="Arial" w:hAnsi="Arial" w:cs="Arial"/>
          <w:sz w:val="24"/>
          <w:szCs w:val="24"/>
          <w:lang w:eastAsia="pt-BR"/>
        </w:rPr>
        <w:t>bi</w:t>
      </w:r>
      <w:r w:rsidRPr="00452ADD">
        <w:rPr>
          <w:rFonts w:ascii="Arial" w:hAnsi="Arial" w:cs="Arial"/>
          <w:sz w:val="24"/>
          <w:szCs w:val="24"/>
          <w:lang w:eastAsia="pt-BR"/>
        </w:rPr>
        <w:t>lidade apenas a União, e sim, a todos os entes federativos, sendo dever destes “primar pela consecução de políticas governamentais úteis à manutenção da saúde integral do indivíduo” (BULOS, 2001, p. 1170).</w:t>
      </w:r>
    </w:p>
    <w:p w:rsidR="00E25AC7" w:rsidRPr="00452ADD" w:rsidRDefault="00E25AC7" w:rsidP="00715288">
      <w:pPr>
        <w:spacing w:after="0" w:line="360" w:lineRule="auto"/>
        <w:ind w:left="15" w:firstLine="720"/>
        <w:jc w:val="both"/>
        <w:rPr>
          <w:rFonts w:ascii="Arial" w:hAnsi="Arial" w:cs="Arial"/>
          <w:sz w:val="24"/>
          <w:szCs w:val="24"/>
          <w:lang w:eastAsia="pt-BR"/>
        </w:rPr>
      </w:pPr>
      <w:r w:rsidRPr="00452ADD">
        <w:rPr>
          <w:rFonts w:ascii="Arial" w:hAnsi="Arial" w:cs="Arial"/>
          <w:sz w:val="24"/>
          <w:szCs w:val="24"/>
          <w:lang w:eastAsia="pt-BR"/>
        </w:rPr>
        <w:t>Com a Constituição ocorreu o surgimento do Sistema Único de Saúde (SUS), sendo que seu financiamento se dará com recursos do orçamento da seguridade social, da União, dos Estados e do Distrito Federal e dos Municípios, além de outras fontes, nos termos do art. 198, §1º da CFRB/88.</w:t>
      </w:r>
      <w:r>
        <w:rPr>
          <w:rFonts w:ascii="Arial" w:hAnsi="Arial" w:cs="Arial"/>
          <w:sz w:val="24"/>
          <w:szCs w:val="24"/>
          <w:lang w:eastAsia="pt-BR"/>
        </w:rPr>
        <w:t xml:space="preserve"> </w:t>
      </w:r>
      <w:r w:rsidRPr="00452ADD">
        <w:rPr>
          <w:rFonts w:ascii="Arial" w:hAnsi="Arial" w:cs="Arial"/>
          <w:sz w:val="24"/>
          <w:szCs w:val="24"/>
          <w:lang w:eastAsia="pt-BR"/>
        </w:rPr>
        <w:t>Conforme BULOS (2001, p. 1172), “o Sistema Único de Saúde (SUS) integrado de uma rede regionalizada e hierarquizada de ações e serviços, corrobora o instrumento pelo qual o Poder Público implementará o seu dever constitucional”. Ainda sobre este tema:</w:t>
      </w:r>
    </w:p>
    <w:p w:rsidR="00E25AC7" w:rsidRDefault="00E25AC7" w:rsidP="00DE4A7C">
      <w:pPr>
        <w:spacing w:after="0" w:line="240" w:lineRule="auto"/>
        <w:ind w:left="2268"/>
        <w:jc w:val="both"/>
        <w:rPr>
          <w:rFonts w:ascii="Arial" w:hAnsi="Arial" w:cs="Arial"/>
          <w:sz w:val="20"/>
          <w:szCs w:val="20"/>
          <w:lang w:eastAsia="pt-BR"/>
        </w:rPr>
      </w:pPr>
    </w:p>
    <w:p w:rsidR="00E25AC7" w:rsidRPr="00452ADD" w:rsidRDefault="00E25AC7" w:rsidP="00DE4A7C">
      <w:pPr>
        <w:spacing w:after="0" w:line="240" w:lineRule="auto"/>
        <w:ind w:left="2268"/>
        <w:jc w:val="both"/>
        <w:rPr>
          <w:rFonts w:ascii="Arial" w:hAnsi="Arial" w:cs="Arial"/>
          <w:sz w:val="20"/>
          <w:szCs w:val="20"/>
          <w:lang w:eastAsia="pt-BR"/>
        </w:rPr>
      </w:pPr>
      <w:r w:rsidRPr="00452ADD">
        <w:rPr>
          <w:rFonts w:ascii="Arial" w:hAnsi="Arial" w:cs="Arial"/>
          <w:sz w:val="20"/>
          <w:szCs w:val="20"/>
          <w:lang w:eastAsia="pt-BR"/>
        </w:rPr>
        <w:t>Cabe lembrar que, antes da criação do Sistema Único de Saúde, o Ministério da Saúde desenvolvia quase que exclusivamente ações de promoção da saúde e prevenção de doenças, como campanhas de vacinação e controle de endemias. A atuação do setor público na chamada assistência médico-hospitalar era prestada por intermédio do Instituto Nacional de Assistência Médica da Previdência Social (</w:t>
      </w:r>
      <w:proofErr w:type="spellStart"/>
      <w:r w:rsidRPr="00452ADD">
        <w:rPr>
          <w:rFonts w:ascii="Arial" w:hAnsi="Arial" w:cs="Arial"/>
          <w:sz w:val="20"/>
          <w:szCs w:val="20"/>
          <w:lang w:eastAsia="pt-BR"/>
        </w:rPr>
        <w:t>Inamps</w:t>
      </w:r>
      <w:proofErr w:type="spellEnd"/>
      <w:r w:rsidRPr="00452ADD">
        <w:rPr>
          <w:rFonts w:ascii="Arial" w:hAnsi="Arial" w:cs="Arial"/>
          <w:sz w:val="20"/>
          <w:szCs w:val="20"/>
          <w:lang w:eastAsia="pt-BR"/>
        </w:rPr>
        <w:t xml:space="preserve">), autarquia do Ministério da Previdência e Assistência Social, e a Assistência à Saúde desenvolvida beneficiava apenas os trabalhadores da economia formal, segurados do INPS e seus dependentes, não tendo caráter universal (SOUZA </w:t>
      </w:r>
      <w:r w:rsidRPr="00452ADD">
        <w:rPr>
          <w:rFonts w:ascii="Arial" w:hAnsi="Arial" w:cs="Arial"/>
          <w:i/>
          <w:iCs/>
          <w:sz w:val="20"/>
          <w:szCs w:val="20"/>
          <w:lang w:eastAsia="pt-BR"/>
        </w:rPr>
        <w:t xml:space="preserve">apud </w:t>
      </w:r>
      <w:r w:rsidRPr="00452ADD">
        <w:rPr>
          <w:rFonts w:ascii="Arial" w:hAnsi="Arial" w:cs="Arial"/>
          <w:sz w:val="20"/>
          <w:szCs w:val="20"/>
          <w:lang w:eastAsia="pt-BR"/>
        </w:rPr>
        <w:t>BRASIL, 2011, p. 24).</w:t>
      </w:r>
    </w:p>
    <w:p w:rsidR="00E25AC7" w:rsidRPr="00452ADD" w:rsidRDefault="00E25AC7" w:rsidP="00DE4A7C">
      <w:pPr>
        <w:spacing w:after="0" w:line="360" w:lineRule="auto"/>
        <w:rPr>
          <w:rFonts w:ascii="Arial" w:hAnsi="Arial" w:cs="Arial"/>
          <w:sz w:val="24"/>
          <w:szCs w:val="24"/>
          <w:lang w:eastAsia="pt-BR"/>
        </w:rPr>
      </w:pPr>
    </w:p>
    <w:p w:rsidR="00E25AC7" w:rsidRPr="00452ADD" w:rsidRDefault="00E25AC7" w:rsidP="00DE4A7C">
      <w:pPr>
        <w:spacing w:after="0" w:line="360" w:lineRule="auto"/>
        <w:ind w:firstLine="700"/>
        <w:jc w:val="both"/>
        <w:rPr>
          <w:rFonts w:ascii="Arial" w:hAnsi="Arial" w:cs="Arial"/>
          <w:sz w:val="24"/>
          <w:szCs w:val="24"/>
          <w:lang w:eastAsia="pt-BR"/>
        </w:rPr>
      </w:pPr>
      <w:r>
        <w:rPr>
          <w:rFonts w:ascii="Arial" w:hAnsi="Arial" w:cs="Arial"/>
          <w:sz w:val="24"/>
          <w:szCs w:val="24"/>
          <w:lang w:eastAsia="pt-BR"/>
        </w:rPr>
        <w:t xml:space="preserve">Com o advento do </w:t>
      </w:r>
      <w:r w:rsidRPr="00BB420B">
        <w:rPr>
          <w:rFonts w:ascii="Arial" w:hAnsi="Arial" w:cs="Arial"/>
          <w:sz w:val="24"/>
          <w:szCs w:val="24"/>
          <w:lang w:eastAsia="pt-BR"/>
        </w:rPr>
        <w:t xml:space="preserve">Sistema Único de Saúde (SUS) </w:t>
      </w:r>
      <w:r>
        <w:rPr>
          <w:rFonts w:ascii="Arial" w:hAnsi="Arial" w:cs="Arial"/>
          <w:sz w:val="24"/>
          <w:szCs w:val="24"/>
          <w:lang w:eastAsia="pt-BR"/>
        </w:rPr>
        <w:t xml:space="preserve">garantiu-se o </w:t>
      </w:r>
      <w:r w:rsidRPr="00BB420B">
        <w:rPr>
          <w:rFonts w:ascii="Arial" w:hAnsi="Arial" w:cs="Arial"/>
          <w:sz w:val="24"/>
          <w:szCs w:val="24"/>
          <w:lang w:eastAsia="pt-BR"/>
        </w:rPr>
        <w:t xml:space="preserve">acesso integral, universal e gratuito para toda a população do país. </w:t>
      </w:r>
      <w:r>
        <w:rPr>
          <w:rFonts w:ascii="Arial" w:hAnsi="Arial" w:cs="Arial"/>
          <w:sz w:val="24"/>
          <w:szCs w:val="24"/>
          <w:lang w:eastAsia="pt-BR"/>
        </w:rPr>
        <w:t>Cabe lembrar que, segundo Silva (2001, p. 86), a saúde</w:t>
      </w:r>
      <w:r w:rsidRPr="00452ADD">
        <w:rPr>
          <w:rFonts w:ascii="Arial" w:hAnsi="Arial" w:cs="Arial"/>
          <w:sz w:val="24"/>
          <w:szCs w:val="24"/>
          <w:lang w:eastAsia="pt-BR"/>
        </w:rPr>
        <w:t xml:space="preserve"> é considerada um bem </w:t>
      </w:r>
      <w:proofErr w:type="spellStart"/>
      <w:r w:rsidRPr="00452ADD">
        <w:rPr>
          <w:rFonts w:ascii="Arial" w:hAnsi="Arial" w:cs="Arial"/>
          <w:sz w:val="24"/>
          <w:szCs w:val="24"/>
          <w:lang w:eastAsia="pt-BR"/>
        </w:rPr>
        <w:t>semi-público</w:t>
      </w:r>
      <w:proofErr w:type="spellEnd"/>
      <w:r>
        <w:rPr>
          <w:rFonts w:ascii="Arial" w:hAnsi="Arial" w:cs="Arial"/>
          <w:sz w:val="24"/>
          <w:szCs w:val="24"/>
          <w:lang w:eastAsia="pt-BR"/>
        </w:rPr>
        <w:t xml:space="preserve"> ou meritório, com um elevado potencial de geração de </w:t>
      </w:r>
      <w:r w:rsidRPr="00452ADD">
        <w:rPr>
          <w:rFonts w:ascii="Arial" w:hAnsi="Arial" w:cs="Arial"/>
          <w:sz w:val="24"/>
          <w:szCs w:val="24"/>
          <w:lang w:eastAsia="pt-BR"/>
        </w:rPr>
        <w:t xml:space="preserve">externalidades, isto é, </w:t>
      </w:r>
      <w:r>
        <w:rPr>
          <w:rFonts w:ascii="Arial" w:hAnsi="Arial" w:cs="Arial"/>
          <w:sz w:val="24"/>
          <w:szCs w:val="24"/>
          <w:lang w:eastAsia="pt-BR"/>
        </w:rPr>
        <w:t>“</w:t>
      </w:r>
      <w:r w:rsidRPr="00452ADD">
        <w:rPr>
          <w:rFonts w:ascii="Arial" w:hAnsi="Arial" w:cs="Arial"/>
          <w:sz w:val="24"/>
          <w:szCs w:val="24"/>
          <w:lang w:eastAsia="pt-BR"/>
        </w:rPr>
        <w:t>benefícios advindos de seu consumo não são totalmente internalizados pelo indivíduo que os consome, espalhando-se uma parcela considerável deles por toda coletividade</w:t>
      </w:r>
      <w:r>
        <w:rPr>
          <w:rFonts w:ascii="Arial" w:hAnsi="Arial" w:cs="Arial"/>
          <w:sz w:val="24"/>
          <w:szCs w:val="24"/>
          <w:lang w:eastAsia="pt-BR"/>
        </w:rPr>
        <w:t>” e a implementação do SUS vem a potencializar estas externalidades.</w:t>
      </w:r>
    </w:p>
    <w:p w:rsidR="00E25AC7" w:rsidRDefault="00E25AC7" w:rsidP="00C03EB0">
      <w:pPr>
        <w:spacing w:after="0" w:line="360" w:lineRule="auto"/>
        <w:ind w:firstLine="700"/>
        <w:jc w:val="both"/>
        <w:rPr>
          <w:rFonts w:ascii="Arial" w:hAnsi="Arial" w:cs="Arial"/>
          <w:sz w:val="24"/>
          <w:szCs w:val="24"/>
          <w:lang w:eastAsia="pt-BR"/>
        </w:rPr>
      </w:pPr>
      <w:r>
        <w:rPr>
          <w:rFonts w:ascii="Arial" w:hAnsi="Arial" w:cs="Arial"/>
          <w:sz w:val="24"/>
          <w:szCs w:val="24"/>
          <w:lang w:eastAsia="pt-BR"/>
        </w:rPr>
        <w:t>A partir de então</w:t>
      </w:r>
      <w:r w:rsidRPr="00452ADD">
        <w:rPr>
          <w:rFonts w:ascii="Arial" w:hAnsi="Arial" w:cs="Arial"/>
          <w:sz w:val="24"/>
          <w:szCs w:val="24"/>
          <w:lang w:eastAsia="pt-BR"/>
        </w:rPr>
        <w:t>, a produção do bem - saúde no Brasil pode ser realizada através da área pública</w:t>
      </w:r>
      <w:r>
        <w:rPr>
          <w:rFonts w:ascii="Arial" w:hAnsi="Arial" w:cs="Arial"/>
          <w:sz w:val="24"/>
          <w:szCs w:val="24"/>
          <w:lang w:eastAsia="pt-BR"/>
        </w:rPr>
        <w:t xml:space="preserve"> e privada, e a Lei 8.080/1990 </w:t>
      </w:r>
      <w:r w:rsidRPr="00452ADD">
        <w:rPr>
          <w:rFonts w:ascii="Arial" w:hAnsi="Arial" w:cs="Arial"/>
          <w:sz w:val="24"/>
          <w:szCs w:val="24"/>
          <w:lang w:eastAsia="pt-BR"/>
        </w:rPr>
        <w:t xml:space="preserve">promove a regulamentação do referido serviço, conforme seu preâmbulo: “Esta Lei regula, em todo o território nacional, as ações e serviços de saúde, executados, isolada ou conjuntamente, em </w:t>
      </w:r>
      <w:r w:rsidRPr="00452ADD">
        <w:rPr>
          <w:rFonts w:ascii="Arial" w:hAnsi="Arial" w:cs="Arial"/>
          <w:sz w:val="24"/>
          <w:szCs w:val="24"/>
          <w:lang w:eastAsia="pt-BR"/>
        </w:rPr>
        <w:lastRenderedPageBreak/>
        <w:t xml:space="preserve">caráter permanente ou eventual, por pessoas naturais ou jurídicas de direito público ou </w:t>
      </w:r>
      <w:r w:rsidRPr="00C03EB0">
        <w:rPr>
          <w:rFonts w:ascii="Arial" w:hAnsi="Arial" w:cs="Arial"/>
          <w:sz w:val="24"/>
          <w:szCs w:val="24"/>
          <w:lang w:eastAsia="pt-BR"/>
        </w:rPr>
        <w:t>privado” (BRASIL, 2012</w:t>
      </w:r>
      <w:r>
        <w:rPr>
          <w:rFonts w:ascii="Arial" w:hAnsi="Arial" w:cs="Arial"/>
          <w:sz w:val="24"/>
          <w:szCs w:val="24"/>
          <w:lang w:eastAsia="pt-BR"/>
        </w:rPr>
        <w:t>c</w:t>
      </w:r>
      <w:r w:rsidRPr="00C03EB0">
        <w:rPr>
          <w:rFonts w:ascii="Arial" w:hAnsi="Arial" w:cs="Arial"/>
          <w:sz w:val="24"/>
          <w:szCs w:val="24"/>
          <w:lang w:eastAsia="pt-BR"/>
        </w:rPr>
        <w:t>, p. 01).</w:t>
      </w:r>
    </w:p>
    <w:p w:rsidR="00E25AC7" w:rsidRPr="00452ADD" w:rsidRDefault="00E25AC7" w:rsidP="00DE4A7C">
      <w:pPr>
        <w:spacing w:after="0" w:line="360" w:lineRule="auto"/>
        <w:ind w:firstLine="700"/>
        <w:jc w:val="both"/>
        <w:rPr>
          <w:rFonts w:ascii="Arial" w:hAnsi="Arial" w:cs="Arial"/>
          <w:sz w:val="24"/>
          <w:szCs w:val="24"/>
          <w:lang w:eastAsia="pt-BR"/>
        </w:rPr>
      </w:pPr>
      <w:r w:rsidRPr="00452ADD">
        <w:rPr>
          <w:rFonts w:ascii="Arial" w:hAnsi="Arial" w:cs="Arial"/>
          <w:sz w:val="24"/>
          <w:szCs w:val="24"/>
          <w:lang w:eastAsia="pt-BR"/>
        </w:rPr>
        <w:t>A fim de definir a abrangência do que tangencia a área de saúde, como serviço a ser disponibilizado à população, o artigo 3º e o parágrafo único da Lei 8.080/1990, o fazem conforme segue,</w:t>
      </w:r>
    </w:p>
    <w:p w:rsidR="00E25AC7" w:rsidRPr="00452ADD" w:rsidRDefault="00E25AC7" w:rsidP="006D60C3">
      <w:pPr>
        <w:spacing w:after="0" w:line="240" w:lineRule="auto"/>
        <w:rPr>
          <w:rFonts w:ascii="Arial" w:hAnsi="Arial" w:cs="Arial"/>
          <w:sz w:val="24"/>
          <w:szCs w:val="24"/>
          <w:lang w:eastAsia="pt-BR"/>
        </w:rPr>
      </w:pPr>
    </w:p>
    <w:p w:rsidR="00E25AC7" w:rsidRPr="00EB2E80" w:rsidRDefault="00E25AC7" w:rsidP="00140F0E">
      <w:pPr>
        <w:spacing w:after="0" w:line="240" w:lineRule="auto"/>
        <w:ind w:left="2280"/>
        <w:jc w:val="both"/>
        <w:rPr>
          <w:rFonts w:ascii="Arial" w:hAnsi="Arial" w:cs="Arial"/>
          <w:sz w:val="20"/>
          <w:szCs w:val="20"/>
          <w:lang w:eastAsia="pt-BR"/>
        </w:rPr>
      </w:pPr>
      <w:r w:rsidRPr="00EB2E80">
        <w:rPr>
          <w:rFonts w:ascii="Arial" w:hAnsi="Arial" w:cs="Arial"/>
          <w:sz w:val="20"/>
          <w:szCs w:val="20"/>
          <w:lang w:eastAsia="pt-BR"/>
        </w:rPr>
        <w:t>Art. 3º A saúde tem como fatores determinantes e condicionantes, entre outros, a alimentação, a moradia, o saneamento básico, o meio ambiente, o trabalho, a renda, a educação, o transporte, o lazer e o acesso aos bens e serviços essenciais; os níveis de saúde da população expressam a organização social e econômica do País.</w:t>
      </w:r>
    </w:p>
    <w:p w:rsidR="00E25AC7" w:rsidRPr="00DF62A4" w:rsidRDefault="00E25AC7" w:rsidP="00140F0E">
      <w:pPr>
        <w:spacing w:after="0" w:line="240" w:lineRule="auto"/>
        <w:ind w:left="2280"/>
        <w:jc w:val="both"/>
        <w:rPr>
          <w:rFonts w:ascii="Arial" w:hAnsi="Arial" w:cs="Arial"/>
          <w:sz w:val="20"/>
          <w:szCs w:val="20"/>
          <w:lang w:eastAsia="pt-BR"/>
        </w:rPr>
      </w:pPr>
      <w:r w:rsidRPr="00EB2E80">
        <w:rPr>
          <w:rFonts w:ascii="Arial" w:hAnsi="Arial" w:cs="Arial"/>
          <w:sz w:val="20"/>
          <w:szCs w:val="20"/>
          <w:lang w:eastAsia="pt-BR"/>
        </w:rPr>
        <w:t>Parágrafo único. Dizem respeito também à saúde as ações que, por força do disposto no artigo anterior, se destinam a garantir às pessoas e à coletividade condições de bem-estar físico, mental e social.</w:t>
      </w:r>
      <w:r>
        <w:rPr>
          <w:rFonts w:ascii="Arial" w:hAnsi="Arial" w:cs="Arial"/>
          <w:sz w:val="20"/>
          <w:szCs w:val="20"/>
          <w:lang w:eastAsia="pt-BR"/>
        </w:rPr>
        <w:t xml:space="preserve"> </w:t>
      </w:r>
      <w:r w:rsidRPr="00DF62A4">
        <w:rPr>
          <w:rFonts w:ascii="Arial" w:hAnsi="Arial" w:cs="Arial"/>
          <w:sz w:val="20"/>
          <w:szCs w:val="20"/>
          <w:lang w:eastAsia="pt-BR"/>
        </w:rPr>
        <w:t>(BRASIL, 2012</w:t>
      </w:r>
      <w:r>
        <w:rPr>
          <w:rFonts w:ascii="Arial" w:hAnsi="Arial" w:cs="Arial"/>
          <w:sz w:val="20"/>
          <w:szCs w:val="20"/>
          <w:lang w:eastAsia="pt-BR"/>
        </w:rPr>
        <w:t>c</w:t>
      </w:r>
      <w:r w:rsidRPr="00DF62A4">
        <w:rPr>
          <w:rFonts w:ascii="Arial" w:hAnsi="Arial" w:cs="Arial"/>
          <w:sz w:val="20"/>
          <w:szCs w:val="20"/>
          <w:lang w:eastAsia="pt-BR"/>
        </w:rPr>
        <w:t>, p. 01).</w:t>
      </w:r>
    </w:p>
    <w:p w:rsidR="00E25AC7" w:rsidRPr="00452ADD" w:rsidRDefault="00E25AC7" w:rsidP="006D60C3">
      <w:pPr>
        <w:spacing w:after="0" w:line="240" w:lineRule="auto"/>
        <w:ind w:left="2280"/>
        <w:jc w:val="both"/>
        <w:rPr>
          <w:rFonts w:ascii="Arial" w:hAnsi="Arial" w:cs="Arial"/>
          <w:sz w:val="24"/>
          <w:szCs w:val="24"/>
          <w:lang w:eastAsia="pt-BR"/>
        </w:rPr>
      </w:pPr>
    </w:p>
    <w:p w:rsidR="00E25AC7" w:rsidRDefault="00E25AC7" w:rsidP="006C1D55">
      <w:pPr>
        <w:spacing w:after="0" w:line="360" w:lineRule="auto"/>
        <w:ind w:firstLine="700"/>
        <w:jc w:val="both"/>
        <w:rPr>
          <w:rFonts w:ascii="Arial" w:hAnsi="Arial" w:cs="Arial"/>
          <w:sz w:val="24"/>
          <w:szCs w:val="24"/>
          <w:lang w:eastAsia="pt-BR"/>
        </w:rPr>
      </w:pPr>
      <w:r w:rsidRPr="00452ADD">
        <w:rPr>
          <w:rFonts w:ascii="Arial" w:hAnsi="Arial" w:cs="Arial"/>
          <w:sz w:val="24"/>
          <w:szCs w:val="24"/>
          <w:lang w:eastAsia="pt-BR"/>
        </w:rPr>
        <w:t>A referida legislação ratifica o disposto na CRFB/88, no que tange a regionalização e hierarquização, por meio do sistema público, ou com o complemento da área privada quanto a aplicabilidade e efetivação da disponibilização do SUS”</w:t>
      </w:r>
      <w:r>
        <w:rPr>
          <w:rFonts w:ascii="Arial" w:hAnsi="Arial" w:cs="Arial"/>
          <w:sz w:val="24"/>
          <w:szCs w:val="24"/>
          <w:lang w:eastAsia="pt-BR"/>
        </w:rPr>
        <w:t xml:space="preserve"> </w:t>
      </w:r>
      <w:r w:rsidRPr="00DF62A4">
        <w:rPr>
          <w:rFonts w:ascii="Arial" w:hAnsi="Arial" w:cs="Arial"/>
          <w:sz w:val="24"/>
          <w:szCs w:val="24"/>
          <w:lang w:eastAsia="pt-BR"/>
        </w:rPr>
        <w:t>(BRASIL, 2012</w:t>
      </w:r>
      <w:r>
        <w:rPr>
          <w:rFonts w:ascii="Arial" w:hAnsi="Arial" w:cs="Arial"/>
          <w:sz w:val="24"/>
          <w:szCs w:val="24"/>
          <w:lang w:eastAsia="pt-BR"/>
        </w:rPr>
        <w:t>c</w:t>
      </w:r>
      <w:r w:rsidRPr="00DF62A4">
        <w:rPr>
          <w:rFonts w:ascii="Arial" w:hAnsi="Arial" w:cs="Arial"/>
          <w:sz w:val="24"/>
          <w:szCs w:val="24"/>
          <w:lang w:eastAsia="pt-BR"/>
        </w:rPr>
        <w:t>, p. 01).</w:t>
      </w:r>
      <w:r>
        <w:rPr>
          <w:rFonts w:ascii="Arial" w:hAnsi="Arial" w:cs="Arial"/>
          <w:color w:val="00B050"/>
          <w:sz w:val="20"/>
          <w:szCs w:val="20"/>
          <w:lang w:eastAsia="pt-BR"/>
        </w:rPr>
        <w:t xml:space="preserve"> </w:t>
      </w:r>
      <w:r w:rsidRPr="00452ADD">
        <w:rPr>
          <w:rFonts w:ascii="Arial" w:hAnsi="Arial" w:cs="Arial"/>
          <w:sz w:val="24"/>
          <w:szCs w:val="24"/>
          <w:lang w:eastAsia="pt-BR"/>
        </w:rPr>
        <w:t>No que se refere a disponibilização de recurso financeiros, a partir da Emenda Constitucional nº 29/2000, ficou estabelecido que uma lei complementar assegurasse uma quantidade de recursos mínimos para o financiamento das ações e serviços públicos de saúde.</w:t>
      </w:r>
      <w:r>
        <w:rPr>
          <w:rFonts w:ascii="Arial" w:hAnsi="Arial" w:cs="Arial"/>
          <w:sz w:val="24"/>
          <w:szCs w:val="24"/>
          <w:lang w:eastAsia="pt-BR"/>
        </w:rPr>
        <w:t xml:space="preserve"> </w:t>
      </w:r>
      <w:r w:rsidRPr="00452ADD">
        <w:rPr>
          <w:rFonts w:ascii="Arial" w:hAnsi="Arial" w:cs="Arial"/>
          <w:sz w:val="24"/>
          <w:szCs w:val="24"/>
          <w:lang w:eastAsia="pt-BR"/>
        </w:rPr>
        <w:t>Contudo, a Lei Complementar responsável por esta fun</w:t>
      </w:r>
      <w:r>
        <w:rPr>
          <w:rFonts w:ascii="Arial" w:hAnsi="Arial" w:cs="Arial"/>
          <w:sz w:val="24"/>
          <w:szCs w:val="24"/>
          <w:lang w:eastAsia="pt-BR"/>
        </w:rPr>
        <w:t>ção foi enumerada de LC 141/2012</w:t>
      </w:r>
      <w:r w:rsidRPr="00452ADD">
        <w:rPr>
          <w:rFonts w:ascii="Arial" w:hAnsi="Arial" w:cs="Arial"/>
          <w:sz w:val="24"/>
          <w:szCs w:val="24"/>
          <w:lang w:eastAsia="pt-BR"/>
        </w:rPr>
        <w:t>, que em seu texto aborda, os critérios de rateio dos recursos de transferências para a s</w:t>
      </w:r>
      <w:r w:rsidRPr="00452ADD">
        <w:rPr>
          <w:rFonts w:ascii="Arial" w:hAnsi="Arial" w:cs="Arial"/>
          <w:sz w:val="24"/>
          <w:szCs w:val="24"/>
          <w:shd w:val="clear" w:color="auto" w:fill="FFFFFF"/>
          <w:lang w:eastAsia="pt-BR"/>
        </w:rPr>
        <w:t>aúde e as normas de fiscalização, avaliação e controle das despesas com saúde nas três esferas de governo, além das providências sobre os valores mínimos a serem aplicados anualmente pela União, Estados, Distrito Federal e Municípios em ações e serviços públicos de saúde (</w:t>
      </w:r>
      <w:r>
        <w:rPr>
          <w:rFonts w:ascii="Arial" w:hAnsi="Arial" w:cs="Arial"/>
          <w:sz w:val="24"/>
          <w:szCs w:val="24"/>
          <w:shd w:val="clear" w:color="auto" w:fill="FFFFFF"/>
          <w:lang w:eastAsia="pt-BR"/>
        </w:rPr>
        <w:t>BRASIL, 2012d)</w:t>
      </w:r>
      <w:r w:rsidRPr="00452ADD">
        <w:rPr>
          <w:rFonts w:ascii="Arial" w:hAnsi="Arial" w:cs="Arial"/>
          <w:sz w:val="24"/>
          <w:szCs w:val="24"/>
          <w:lang w:eastAsia="pt-BR"/>
        </w:rPr>
        <w:t xml:space="preserve">. </w:t>
      </w:r>
    </w:p>
    <w:p w:rsidR="00E25AC7" w:rsidRPr="007F66CF" w:rsidRDefault="00E25AC7" w:rsidP="006C1D55">
      <w:pPr>
        <w:spacing w:after="0" w:line="360" w:lineRule="auto"/>
        <w:ind w:firstLine="700"/>
        <w:jc w:val="both"/>
        <w:rPr>
          <w:rFonts w:ascii="Arial" w:hAnsi="Arial" w:cs="Arial"/>
          <w:sz w:val="24"/>
          <w:szCs w:val="24"/>
          <w:lang w:eastAsia="pt-BR"/>
        </w:rPr>
      </w:pPr>
      <w:r>
        <w:rPr>
          <w:rFonts w:ascii="Arial" w:hAnsi="Arial" w:cs="Arial"/>
          <w:sz w:val="24"/>
          <w:szCs w:val="24"/>
          <w:lang w:eastAsia="pt-BR"/>
        </w:rPr>
        <w:t xml:space="preserve">Para um melhor entendimento, vale ressaltar que </w:t>
      </w:r>
      <w:r w:rsidRPr="007F66CF">
        <w:rPr>
          <w:rFonts w:ascii="Arial" w:hAnsi="Arial" w:cs="Arial"/>
          <w:sz w:val="24"/>
          <w:szCs w:val="24"/>
          <w:lang w:eastAsia="pt-BR"/>
        </w:rPr>
        <w:t xml:space="preserve">Emenda Constitucional 29/2000 assegurou </w:t>
      </w:r>
      <w:r w:rsidRPr="007F66CF">
        <w:rPr>
          <w:rFonts w:ascii="Arial" w:hAnsi="Arial" w:cs="Arial"/>
          <w:sz w:val="24"/>
          <w:szCs w:val="24"/>
          <w:shd w:val="clear" w:color="auto" w:fill="FFFFFF"/>
        </w:rPr>
        <w:t xml:space="preserve">recursos mínimos para o financiamento das ações e serviços públicos de saúde, </w:t>
      </w:r>
      <w:r>
        <w:rPr>
          <w:rFonts w:ascii="Arial" w:hAnsi="Arial" w:cs="Arial"/>
          <w:sz w:val="24"/>
          <w:szCs w:val="24"/>
          <w:shd w:val="clear" w:color="auto" w:fill="FFFFFF"/>
        </w:rPr>
        <w:t xml:space="preserve">de 2000 a 2004, </w:t>
      </w:r>
      <w:r w:rsidRPr="007F66CF">
        <w:rPr>
          <w:rFonts w:ascii="Arial" w:hAnsi="Arial" w:cs="Arial"/>
          <w:sz w:val="24"/>
          <w:szCs w:val="24"/>
          <w:shd w:val="clear" w:color="auto" w:fill="FFFFFF"/>
        </w:rPr>
        <w:t xml:space="preserve">porém, esta </w:t>
      </w:r>
      <w:r w:rsidRPr="007F66CF">
        <w:rPr>
          <w:rFonts w:ascii="Arial" w:hAnsi="Arial" w:cs="Arial"/>
          <w:color w:val="000000"/>
          <w:sz w:val="24"/>
          <w:szCs w:val="24"/>
          <w:shd w:val="clear" w:color="auto" w:fill="FFFFFF"/>
        </w:rPr>
        <w:t>referida Emenda precisaria ser regulamentada por Lei Complementar, que culminou em 2012, com a LC 141/2012, que deverá ser reavaliada a cada cinco anos.</w:t>
      </w:r>
    </w:p>
    <w:p w:rsidR="00E25AC7" w:rsidRDefault="00E25AC7" w:rsidP="00DE4A7C">
      <w:pPr>
        <w:spacing w:after="0" w:line="360" w:lineRule="auto"/>
        <w:ind w:firstLine="735"/>
        <w:jc w:val="both"/>
        <w:rPr>
          <w:rFonts w:ascii="Arial" w:hAnsi="Arial" w:cs="Arial"/>
          <w:sz w:val="24"/>
          <w:szCs w:val="24"/>
          <w:lang w:eastAsia="pt-BR"/>
        </w:rPr>
      </w:pPr>
      <w:r>
        <w:rPr>
          <w:rFonts w:ascii="Arial" w:hAnsi="Arial" w:cs="Arial"/>
          <w:sz w:val="24"/>
          <w:szCs w:val="24"/>
          <w:lang w:eastAsia="pt-BR"/>
        </w:rPr>
        <w:t xml:space="preserve">Os limites constitucionais para os percentuais a serem aplicados na saúde pública no Brasil, </w:t>
      </w:r>
      <w:proofErr w:type="spellStart"/>
      <w:r>
        <w:rPr>
          <w:rFonts w:ascii="Arial" w:hAnsi="Arial" w:cs="Arial"/>
          <w:sz w:val="24"/>
          <w:szCs w:val="24"/>
          <w:lang w:eastAsia="pt-BR"/>
        </w:rPr>
        <w:t>tando</w:t>
      </w:r>
      <w:proofErr w:type="spellEnd"/>
      <w:r>
        <w:rPr>
          <w:rFonts w:ascii="Arial" w:hAnsi="Arial" w:cs="Arial"/>
          <w:sz w:val="24"/>
          <w:szCs w:val="24"/>
          <w:lang w:eastAsia="pt-BR"/>
        </w:rPr>
        <w:t xml:space="preserve"> pela EC 29/2000 quanto pela LC 141/2012, ficaram assim estabelecidos (ver quadro 1):</w:t>
      </w:r>
    </w:p>
    <w:p w:rsidR="00E25AC7" w:rsidRDefault="00E25AC7" w:rsidP="002F05F1">
      <w:pPr>
        <w:spacing w:after="0" w:line="240" w:lineRule="auto"/>
        <w:ind w:firstLine="735"/>
        <w:jc w:val="center"/>
        <w:rPr>
          <w:rFonts w:ascii="Arial" w:hAnsi="Arial" w:cs="Arial"/>
          <w:b/>
          <w:sz w:val="24"/>
          <w:szCs w:val="24"/>
          <w:lang w:eastAsia="pt-BR"/>
        </w:rPr>
      </w:pPr>
    </w:p>
    <w:p w:rsidR="00E25AC7" w:rsidRPr="00CE45B8" w:rsidRDefault="00E25AC7" w:rsidP="002F05F1">
      <w:pPr>
        <w:spacing w:after="0" w:line="240" w:lineRule="auto"/>
        <w:ind w:firstLine="735"/>
        <w:jc w:val="center"/>
        <w:rPr>
          <w:rFonts w:ascii="Arial" w:hAnsi="Arial" w:cs="Arial"/>
          <w:b/>
          <w:sz w:val="24"/>
          <w:szCs w:val="24"/>
          <w:lang w:eastAsia="pt-BR"/>
        </w:rPr>
      </w:pPr>
      <w:r w:rsidRPr="00D53FCA">
        <w:rPr>
          <w:rFonts w:ascii="Arial" w:hAnsi="Arial" w:cs="Arial"/>
          <w:b/>
          <w:sz w:val="24"/>
          <w:szCs w:val="24"/>
          <w:lang w:eastAsia="pt-BR"/>
        </w:rPr>
        <w:lastRenderedPageBreak/>
        <w:t>Quadro 1</w:t>
      </w:r>
      <w:r>
        <w:rPr>
          <w:rFonts w:ascii="Arial" w:hAnsi="Arial" w:cs="Arial"/>
          <w:b/>
          <w:sz w:val="24"/>
          <w:szCs w:val="24"/>
          <w:lang w:eastAsia="pt-BR"/>
        </w:rPr>
        <w:t>-</w:t>
      </w:r>
      <w:r w:rsidRPr="00D53FCA">
        <w:rPr>
          <w:rFonts w:ascii="Arial" w:hAnsi="Arial" w:cs="Arial"/>
          <w:sz w:val="24"/>
          <w:szCs w:val="24"/>
          <w:lang w:eastAsia="pt-BR"/>
        </w:rPr>
        <w:t xml:space="preserve"> </w:t>
      </w:r>
      <w:r w:rsidRPr="00CE45B8">
        <w:rPr>
          <w:rFonts w:ascii="Arial" w:hAnsi="Arial" w:cs="Arial"/>
          <w:b/>
          <w:sz w:val="24"/>
          <w:szCs w:val="24"/>
          <w:lang w:eastAsia="pt-BR"/>
        </w:rPr>
        <w:t>Entes da federação e respectivos percentuais constitucionais mínimos para a área da saúde</w:t>
      </w:r>
      <w:r>
        <w:rPr>
          <w:rFonts w:ascii="Arial" w:hAnsi="Arial" w:cs="Arial"/>
          <w:b/>
          <w:sz w:val="24"/>
          <w:szCs w:val="24"/>
          <w:lang w:eastAsia="pt-BR"/>
        </w:rPr>
        <w:t>.</w:t>
      </w:r>
    </w:p>
    <w:p w:rsidR="00E25AC7" w:rsidRDefault="00E25AC7" w:rsidP="002F05F1">
      <w:pPr>
        <w:spacing w:after="0" w:line="240" w:lineRule="auto"/>
        <w:ind w:firstLine="735"/>
        <w:jc w:val="center"/>
        <w:rPr>
          <w:rFonts w:ascii="Arial" w:hAnsi="Arial" w:cs="Arial"/>
          <w:sz w:val="24"/>
          <w:szCs w:val="24"/>
          <w:lang w:eastAsia="pt-BR"/>
        </w:rPr>
      </w:pPr>
    </w:p>
    <w:tbl>
      <w:tblPr>
        <w:tblW w:w="9229" w:type="dxa"/>
        <w:tblInd w:w="55" w:type="dxa"/>
        <w:tblCellMar>
          <w:left w:w="70" w:type="dxa"/>
          <w:right w:w="70" w:type="dxa"/>
        </w:tblCellMar>
        <w:tblLook w:val="00A0" w:firstRow="1" w:lastRow="0" w:firstColumn="1" w:lastColumn="0" w:noHBand="0" w:noVBand="0"/>
      </w:tblPr>
      <w:tblGrid>
        <w:gridCol w:w="2748"/>
        <w:gridCol w:w="4279"/>
        <w:gridCol w:w="2202"/>
      </w:tblGrid>
      <w:tr w:rsidR="00E25AC7" w:rsidRPr="008313B9" w:rsidTr="00855534">
        <w:trPr>
          <w:trHeight w:val="300"/>
        </w:trPr>
        <w:tc>
          <w:tcPr>
            <w:tcW w:w="2748" w:type="dxa"/>
            <w:tcBorders>
              <w:top w:val="single" w:sz="8" w:space="0" w:color="auto"/>
              <w:left w:val="single" w:sz="8" w:space="0" w:color="auto"/>
              <w:bottom w:val="single" w:sz="8" w:space="0" w:color="auto"/>
              <w:right w:val="single" w:sz="4" w:space="0" w:color="auto"/>
            </w:tcBorders>
            <w:shd w:val="clear" w:color="000000" w:fill="C4BD97"/>
            <w:vAlign w:val="center"/>
          </w:tcPr>
          <w:p w:rsidR="00E25AC7" w:rsidRPr="00F51685" w:rsidRDefault="00E25AC7" w:rsidP="002F05F1">
            <w:pPr>
              <w:spacing w:after="0" w:line="240" w:lineRule="auto"/>
              <w:jc w:val="center"/>
              <w:rPr>
                <w:rFonts w:ascii="Arial" w:hAnsi="Arial" w:cs="Arial"/>
                <w:color w:val="000000"/>
                <w:sz w:val="20"/>
                <w:szCs w:val="20"/>
                <w:lang w:eastAsia="pt-BR"/>
              </w:rPr>
            </w:pPr>
            <w:r w:rsidRPr="00F51685">
              <w:rPr>
                <w:rFonts w:ascii="Arial" w:hAnsi="Arial" w:cs="Arial"/>
                <w:color w:val="000000"/>
                <w:sz w:val="20"/>
                <w:szCs w:val="20"/>
                <w:lang w:eastAsia="pt-BR"/>
              </w:rPr>
              <w:t>ENTE DA FEDERAÇÃO</w:t>
            </w:r>
          </w:p>
        </w:tc>
        <w:tc>
          <w:tcPr>
            <w:tcW w:w="4279" w:type="dxa"/>
            <w:tcBorders>
              <w:top w:val="single" w:sz="8" w:space="0" w:color="auto"/>
              <w:left w:val="nil"/>
              <w:bottom w:val="single" w:sz="8" w:space="0" w:color="auto"/>
              <w:right w:val="single" w:sz="4" w:space="0" w:color="auto"/>
            </w:tcBorders>
            <w:shd w:val="clear" w:color="000000" w:fill="C4BD97"/>
            <w:vAlign w:val="center"/>
          </w:tcPr>
          <w:p w:rsidR="00E25AC7" w:rsidRPr="00F51685" w:rsidRDefault="00E25AC7" w:rsidP="002F05F1">
            <w:pPr>
              <w:spacing w:after="0" w:line="240" w:lineRule="auto"/>
              <w:jc w:val="center"/>
              <w:rPr>
                <w:rFonts w:ascii="Arial" w:hAnsi="Arial" w:cs="Arial"/>
                <w:color w:val="000000"/>
                <w:sz w:val="20"/>
                <w:szCs w:val="20"/>
                <w:lang w:eastAsia="pt-BR"/>
              </w:rPr>
            </w:pPr>
            <w:r w:rsidRPr="00F51685">
              <w:rPr>
                <w:rFonts w:ascii="Arial" w:hAnsi="Arial" w:cs="Arial"/>
                <w:color w:val="000000"/>
                <w:sz w:val="20"/>
                <w:szCs w:val="20"/>
                <w:lang w:eastAsia="pt-BR"/>
              </w:rPr>
              <w:t>APLICAÇÃO EM SAÚDE</w:t>
            </w:r>
          </w:p>
        </w:tc>
        <w:tc>
          <w:tcPr>
            <w:tcW w:w="2202" w:type="dxa"/>
            <w:tcBorders>
              <w:top w:val="single" w:sz="8" w:space="0" w:color="auto"/>
              <w:left w:val="nil"/>
              <w:bottom w:val="single" w:sz="8" w:space="0" w:color="auto"/>
              <w:right w:val="single" w:sz="8" w:space="0" w:color="auto"/>
            </w:tcBorders>
            <w:shd w:val="clear" w:color="000000" w:fill="C4BD97"/>
            <w:vAlign w:val="center"/>
          </w:tcPr>
          <w:p w:rsidR="00E25AC7" w:rsidRPr="00F51685" w:rsidRDefault="00E25AC7" w:rsidP="002F05F1">
            <w:pPr>
              <w:spacing w:after="0" w:line="240" w:lineRule="auto"/>
              <w:jc w:val="center"/>
              <w:rPr>
                <w:rFonts w:ascii="Arial" w:hAnsi="Arial" w:cs="Arial"/>
                <w:color w:val="000000"/>
                <w:sz w:val="20"/>
                <w:szCs w:val="20"/>
                <w:lang w:eastAsia="pt-BR"/>
              </w:rPr>
            </w:pPr>
            <w:r w:rsidRPr="00F51685">
              <w:rPr>
                <w:rFonts w:ascii="Arial" w:hAnsi="Arial" w:cs="Arial"/>
                <w:color w:val="000000"/>
                <w:sz w:val="20"/>
                <w:szCs w:val="20"/>
                <w:lang w:eastAsia="pt-BR"/>
              </w:rPr>
              <w:t>LEGISLAÇÃO</w:t>
            </w:r>
          </w:p>
        </w:tc>
      </w:tr>
      <w:tr w:rsidR="00E25AC7" w:rsidRPr="008313B9" w:rsidTr="00855534">
        <w:trPr>
          <w:trHeight w:val="1644"/>
        </w:trPr>
        <w:tc>
          <w:tcPr>
            <w:tcW w:w="2748" w:type="dxa"/>
            <w:tcBorders>
              <w:top w:val="nil"/>
              <w:left w:val="single" w:sz="8" w:space="0" w:color="auto"/>
              <w:bottom w:val="single" w:sz="4" w:space="0" w:color="auto"/>
              <w:right w:val="single" w:sz="4" w:space="0" w:color="auto"/>
            </w:tcBorders>
            <w:noWrap/>
            <w:vAlign w:val="bottom"/>
          </w:tcPr>
          <w:p w:rsidR="00E25AC7" w:rsidRPr="00F51685" w:rsidRDefault="00E25AC7" w:rsidP="002F05F1">
            <w:pPr>
              <w:spacing w:after="0" w:line="240" w:lineRule="auto"/>
              <w:jc w:val="center"/>
              <w:rPr>
                <w:rFonts w:ascii="Arial" w:hAnsi="Arial" w:cs="Arial"/>
                <w:sz w:val="20"/>
                <w:szCs w:val="20"/>
                <w:lang w:eastAsia="pt-BR"/>
              </w:rPr>
            </w:pPr>
            <w:r w:rsidRPr="00F51685">
              <w:rPr>
                <w:rFonts w:ascii="Arial" w:hAnsi="Arial" w:cs="Arial"/>
                <w:sz w:val="20"/>
                <w:szCs w:val="20"/>
                <w:lang w:eastAsia="pt-BR"/>
              </w:rPr>
              <w:t>UNIÃO</w:t>
            </w:r>
          </w:p>
        </w:tc>
        <w:tc>
          <w:tcPr>
            <w:tcW w:w="4279" w:type="dxa"/>
            <w:tcBorders>
              <w:top w:val="nil"/>
              <w:left w:val="nil"/>
              <w:bottom w:val="single" w:sz="4" w:space="0" w:color="auto"/>
              <w:right w:val="single" w:sz="4" w:space="0" w:color="auto"/>
            </w:tcBorders>
            <w:vAlign w:val="bottom"/>
          </w:tcPr>
          <w:p w:rsidR="00E25AC7" w:rsidRPr="00F51685" w:rsidRDefault="00E25AC7" w:rsidP="002F05F1">
            <w:pPr>
              <w:spacing w:after="0" w:line="240" w:lineRule="auto"/>
              <w:jc w:val="center"/>
              <w:rPr>
                <w:rFonts w:ascii="Arial" w:hAnsi="Arial" w:cs="Arial"/>
                <w:sz w:val="20"/>
                <w:szCs w:val="20"/>
                <w:lang w:eastAsia="pt-BR"/>
              </w:rPr>
            </w:pPr>
            <w:r w:rsidRPr="00F51685">
              <w:rPr>
                <w:rFonts w:ascii="Arial" w:hAnsi="Arial" w:cs="Arial"/>
                <w:sz w:val="20"/>
                <w:szCs w:val="20"/>
                <w:lang w:eastAsia="pt-BR"/>
              </w:rPr>
              <w:t>O montante correspondente ao valor empenhado no exercício financeiro anterior, apurado nos termos desta Lei Complementar, acrescido de, no mínimo, o percentual correspondente à variação nominal do Produto Interno Bruto (PIB) ocorrida no ano anterior ao da lei orçamentária anual.</w:t>
            </w:r>
          </w:p>
        </w:tc>
        <w:tc>
          <w:tcPr>
            <w:tcW w:w="2202" w:type="dxa"/>
            <w:tcBorders>
              <w:top w:val="nil"/>
              <w:left w:val="nil"/>
              <w:bottom w:val="single" w:sz="4" w:space="0" w:color="auto"/>
              <w:right w:val="single" w:sz="8" w:space="0" w:color="auto"/>
            </w:tcBorders>
            <w:vAlign w:val="bottom"/>
          </w:tcPr>
          <w:p w:rsidR="00E25AC7" w:rsidRPr="00F51685" w:rsidRDefault="00E25AC7" w:rsidP="002F05F1">
            <w:pPr>
              <w:spacing w:after="0" w:line="240" w:lineRule="auto"/>
              <w:jc w:val="center"/>
              <w:rPr>
                <w:rFonts w:ascii="Arial" w:hAnsi="Arial" w:cs="Arial"/>
                <w:sz w:val="20"/>
                <w:szCs w:val="20"/>
                <w:lang w:eastAsia="pt-BR"/>
              </w:rPr>
            </w:pPr>
            <w:r w:rsidRPr="00F51685">
              <w:rPr>
                <w:rFonts w:ascii="Arial" w:hAnsi="Arial" w:cs="Arial"/>
                <w:sz w:val="20"/>
                <w:szCs w:val="20"/>
                <w:lang w:eastAsia="pt-BR"/>
              </w:rPr>
              <w:t>Art. 6o  da Emenda Constitucional 29/2000 e Art. 5o  da Lei Complementar 141/2012</w:t>
            </w:r>
          </w:p>
        </w:tc>
      </w:tr>
      <w:tr w:rsidR="00E25AC7" w:rsidRPr="008313B9" w:rsidTr="00855534">
        <w:trPr>
          <w:trHeight w:val="1680"/>
        </w:trPr>
        <w:tc>
          <w:tcPr>
            <w:tcW w:w="2748" w:type="dxa"/>
            <w:tcBorders>
              <w:top w:val="nil"/>
              <w:left w:val="single" w:sz="8" w:space="0" w:color="auto"/>
              <w:bottom w:val="single" w:sz="4" w:space="0" w:color="auto"/>
              <w:right w:val="single" w:sz="4" w:space="0" w:color="auto"/>
            </w:tcBorders>
            <w:noWrap/>
            <w:vAlign w:val="bottom"/>
          </w:tcPr>
          <w:p w:rsidR="00E25AC7" w:rsidRPr="00F51685" w:rsidRDefault="00E25AC7" w:rsidP="002F05F1">
            <w:pPr>
              <w:spacing w:after="0" w:line="240" w:lineRule="auto"/>
              <w:jc w:val="center"/>
              <w:rPr>
                <w:rFonts w:ascii="Arial" w:hAnsi="Arial" w:cs="Arial"/>
                <w:sz w:val="20"/>
                <w:szCs w:val="20"/>
                <w:lang w:eastAsia="pt-BR"/>
              </w:rPr>
            </w:pPr>
            <w:r w:rsidRPr="00F51685">
              <w:rPr>
                <w:rFonts w:ascii="Arial" w:hAnsi="Arial" w:cs="Arial"/>
                <w:sz w:val="20"/>
                <w:szCs w:val="20"/>
                <w:lang w:eastAsia="pt-BR"/>
              </w:rPr>
              <w:t>ESTADOS E DISTRITO FEDERAL</w:t>
            </w:r>
          </w:p>
        </w:tc>
        <w:tc>
          <w:tcPr>
            <w:tcW w:w="4279" w:type="dxa"/>
            <w:tcBorders>
              <w:top w:val="nil"/>
              <w:left w:val="nil"/>
              <w:bottom w:val="single" w:sz="4" w:space="0" w:color="auto"/>
              <w:right w:val="single" w:sz="4" w:space="0" w:color="auto"/>
            </w:tcBorders>
            <w:vAlign w:val="bottom"/>
          </w:tcPr>
          <w:p w:rsidR="00E25AC7" w:rsidRPr="00F51685" w:rsidRDefault="00E25AC7" w:rsidP="002F05F1">
            <w:pPr>
              <w:spacing w:after="0" w:line="240" w:lineRule="auto"/>
              <w:jc w:val="center"/>
              <w:rPr>
                <w:rFonts w:ascii="Arial" w:hAnsi="Arial" w:cs="Arial"/>
                <w:sz w:val="20"/>
                <w:szCs w:val="20"/>
                <w:lang w:eastAsia="pt-BR"/>
              </w:rPr>
            </w:pPr>
            <w:r w:rsidRPr="00F51685">
              <w:rPr>
                <w:rFonts w:ascii="Arial" w:hAnsi="Arial" w:cs="Arial"/>
                <w:sz w:val="20"/>
                <w:szCs w:val="20"/>
                <w:lang w:eastAsia="pt-BR"/>
              </w:rPr>
              <w:t>Mínimo de 12% (doze por cento) da arrecadação dos impostos a que se refere o art. 155 e dos recursos de que tratam o art. 157, a alínea “a” do inciso I e o inciso II do caput do art. 159, todos da Constituição Federal, deduzidas as parcelas que forem transferidas aos respectivos Municípios</w:t>
            </w:r>
          </w:p>
        </w:tc>
        <w:tc>
          <w:tcPr>
            <w:tcW w:w="2202" w:type="dxa"/>
            <w:tcBorders>
              <w:top w:val="nil"/>
              <w:left w:val="nil"/>
              <w:bottom w:val="single" w:sz="4" w:space="0" w:color="auto"/>
              <w:right w:val="single" w:sz="8" w:space="0" w:color="auto"/>
            </w:tcBorders>
            <w:vAlign w:val="bottom"/>
          </w:tcPr>
          <w:p w:rsidR="00E25AC7" w:rsidRPr="00F51685" w:rsidRDefault="00E25AC7" w:rsidP="002F05F1">
            <w:pPr>
              <w:spacing w:after="0" w:line="240" w:lineRule="auto"/>
              <w:jc w:val="center"/>
              <w:rPr>
                <w:rFonts w:ascii="Arial" w:hAnsi="Arial" w:cs="Arial"/>
                <w:sz w:val="20"/>
                <w:szCs w:val="20"/>
                <w:lang w:eastAsia="pt-BR"/>
              </w:rPr>
            </w:pPr>
            <w:r w:rsidRPr="00F51685">
              <w:rPr>
                <w:rFonts w:ascii="Arial" w:hAnsi="Arial" w:cs="Arial"/>
                <w:sz w:val="20"/>
                <w:szCs w:val="20"/>
                <w:lang w:eastAsia="pt-BR"/>
              </w:rPr>
              <w:t>Art. 6o  da Emenda  Constitucional 29/2000 e Art. 6o  da Lei Complementar 141/2012</w:t>
            </w:r>
          </w:p>
        </w:tc>
      </w:tr>
      <w:tr w:rsidR="00E25AC7" w:rsidRPr="008313B9" w:rsidTr="00855534">
        <w:trPr>
          <w:trHeight w:val="1440"/>
        </w:trPr>
        <w:tc>
          <w:tcPr>
            <w:tcW w:w="2748" w:type="dxa"/>
            <w:tcBorders>
              <w:top w:val="nil"/>
              <w:left w:val="single" w:sz="8" w:space="0" w:color="auto"/>
              <w:bottom w:val="single" w:sz="8" w:space="0" w:color="auto"/>
              <w:right w:val="single" w:sz="4" w:space="0" w:color="auto"/>
            </w:tcBorders>
            <w:noWrap/>
            <w:vAlign w:val="bottom"/>
          </w:tcPr>
          <w:p w:rsidR="00E25AC7" w:rsidRPr="00F51685" w:rsidRDefault="00E25AC7" w:rsidP="002F05F1">
            <w:pPr>
              <w:spacing w:after="0" w:line="240" w:lineRule="auto"/>
              <w:jc w:val="center"/>
              <w:rPr>
                <w:rFonts w:ascii="Arial" w:hAnsi="Arial" w:cs="Arial"/>
                <w:sz w:val="20"/>
                <w:szCs w:val="20"/>
                <w:lang w:eastAsia="pt-BR"/>
              </w:rPr>
            </w:pPr>
            <w:r w:rsidRPr="00F51685">
              <w:rPr>
                <w:rFonts w:ascii="Arial" w:hAnsi="Arial" w:cs="Arial"/>
                <w:sz w:val="20"/>
                <w:szCs w:val="20"/>
                <w:lang w:eastAsia="pt-BR"/>
              </w:rPr>
              <w:t>MUNICÍPIOS E DISTRITO FEDERAL</w:t>
            </w:r>
          </w:p>
        </w:tc>
        <w:tc>
          <w:tcPr>
            <w:tcW w:w="4279" w:type="dxa"/>
            <w:tcBorders>
              <w:top w:val="nil"/>
              <w:left w:val="nil"/>
              <w:bottom w:val="single" w:sz="8" w:space="0" w:color="auto"/>
              <w:right w:val="single" w:sz="4" w:space="0" w:color="auto"/>
            </w:tcBorders>
            <w:vAlign w:val="bottom"/>
          </w:tcPr>
          <w:p w:rsidR="00E25AC7" w:rsidRPr="00F51685" w:rsidRDefault="00E25AC7" w:rsidP="002F05F1">
            <w:pPr>
              <w:spacing w:after="0" w:line="240" w:lineRule="auto"/>
              <w:jc w:val="center"/>
              <w:rPr>
                <w:rFonts w:ascii="Arial" w:hAnsi="Arial" w:cs="Arial"/>
                <w:sz w:val="20"/>
                <w:szCs w:val="20"/>
                <w:lang w:eastAsia="pt-BR"/>
              </w:rPr>
            </w:pPr>
            <w:r w:rsidRPr="00F51685">
              <w:rPr>
                <w:rFonts w:ascii="Arial" w:hAnsi="Arial" w:cs="Arial"/>
                <w:sz w:val="20"/>
                <w:szCs w:val="20"/>
                <w:lang w:eastAsia="pt-BR"/>
              </w:rPr>
              <w:t>Mínimo de 15% (quinze por cento) da arrecadação dos impostos a que se refere o art. 156 e dos recursos de que tratam o art. 158 e a alínea “b” do inciso I do caput e o § 3º do art. 159, todos da Constituição Federal.</w:t>
            </w:r>
          </w:p>
        </w:tc>
        <w:tc>
          <w:tcPr>
            <w:tcW w:w="2202" w:type="dxa"/>
            <w:tcBorders>
              <w:top w:val="nil"/>
              <w:left w:val="nil"/>
              <w:bottom w:val="single" w:sz="8" w:space="0" w:color="auto"/>
              <w:right w:val="single" w:sz="8" w:space="0" w:color="auto"/>
            </w:tcBorders>
            <w:vAlign w:val="bottom"/>
          </w:tcPr>
          <w:p w:rsidR="00E25AC7" w:rsidRPr="00F51685" w:rsidRDefault="00E25AC7" w:rsidP="002F05F1">
            <w:pPr>
              <w:spacing w:after="0" w:line="240" w:lineRule="auto"/>
              <w:jc w:val="center"/>
              <w:rPr>
                <w:rFonts w:ascii="Arial" w:hAnsi="Arial" w:cs="Arial"/>
                <w:sz w:val="20"/>
                <w:szCs w:val="20"/>
                <w:lang w:eastAsia="pt-BR"/>
              </w:rPr>
            </w:pPr>
            <w:r w:rsidRPr="00F51685">
              <w:rPr>
                <w:rFonts w:ascii="Arial" w:hAnsi="Arial" w:cs="Arial"/>
                <w:sz w:val="20"/>
                <w:szCs w:val="20"/>
                <w:lang w:eastAsia="pt-BR"/>
              </w:rPr>
              <w:t>Art. 6o  da Emenda Constitucional 29/2000 e Art. 7o  da Lei Complementar 141/2012</w:t>
            </w:r>
          </w:p>
        </w:tc>
      </w:tr>
    </w:tbl>
    <w:p w:rsidR="00E25AC7" w:rsidRPr="00D677DF" w:rsidRDefault="00E25AC7" w:rsidP="002F05F1">
      <w:pPr>
        <w:spacing w:after="0" w:line="240" w:lineRule="auto"/>
        <w:ind w:firstLine="735"/>
        <w:jc w:val="center"/>
        <w:rPr>
          <w:rFonts w:ascii="Arial" w:hAnsi="Arial" w:cs="Arial"/>
          <w:sz w:val="20"/>
          <w:szCs w:val="20"/>
          <w:lang w:eastAsia="pt-BR"/>
        </w:rPr>
      </w:pPr>
      <w:r w:rsidRPr="00D677DF">
        <w:rPr>
          <w:rFonts w:ascii="Arial" w:hAnsi="Arial" w:cs="Arial"/>
          <w:sz w:val="20"/>
          <w:szCs w:val="20"/>
          <w:lang w:eastAsia="pt-BR"/>
        </w:rPr>
        <w:t>Fonte: Elaborado pelos autores com base em Brasil (2012b) e Brasil (2012d).</w:t>
      </w:r>
    </w:p>
    <w:p w:rsidR="00E25AC7" w:rsidRDefault="00E25AC7" w:rsidP="00D53FCA">
      <w:pPr>
        <w:spacing w:after="0" w:line="240" w:lineRule="auto"/>
        <w:ind w:firstLine="735"/>
        <w:jc w:val="both"/>
        <w:rPr>
          <w:rFonts w:ascii="Arial" w:hAnsi="Arial" w:cs="Arial"/>
          <w:sz w:val="24"/>
          <w:szCs w:val="24"/>
          <w:lang w:eastAsia="pt-BR"/>
        </w:rPr>
      </w:pPr>
    </w:p>
    <w:p w:rsidR="00E25AC7" w:rsidRDefault="00E25AC7" w:rsidP="00593A7C">
      <w:pPr>
        <w:spacing w:after="0" w:line="360" w:lineRule="auto"/>
        <w:ind w:firstLine="708"/>
        <w:jc w:val="both"/>
        <w:rPr>
          <w:rFonts w:ascii="Arial" w:hAnsi="Arial" w:cs="Arial"/>
          <w:sz w:val="24"/>
          <w:szCs w:val="24"/>
          <w:lang w:eastAsia="pt-BR"/>
        </w:rPr>
      </w:pPr>
      <w:r>
        <w:rPr>
          <w:rFonts w:ascii="Arial" w:hAnsi="Arial" w:cs="Arial"/>
          <w:sz w:val="24"/>
          <w:szCs w:val="24"/>
          <w:lang w:eastAsia="pt-BR"/>
        </w:rPr>
        <w:t xml:space="preserve">Uma vez estabelecido os mínimos percentuais, os entes da federação necessitaram criar sistemas de acompanhamento e controle, tendo em vista que os Tribunais de Contas em cada uma das instâncias fará fiscalização dessas aplicações para verificar o cumprimento da </w:t>
      </w:r>
      <w:r w:rsidRPr="00D31803">
        <w:rPr>
          <w:rFonts w:ascii="Arial" w:hAnsi="Arial" w:cs="Arial"/>
          <w:sz w:val="24"/>
          <w:szCs w:val="24"/>
          <w:lang w:eastAsia="pt-BR"/>
        </w:rPr>
        <w:t>lei (</w:t>
      </w:r>
      <w:r w:rsidRPr="00D31803">
        <w:rPr>
          <w:rFonts w:ascii="Arial" w:hAnsi="Arial" w:cs="Arial"/>
          <w:sz w:val="24"/>
          <w:szCs w:val="24"/>
        </w:rPr>
        <w:t xml:space="preserve">ZELENOVSKY </w:t>
      </w:r>
      <w:r>
        <w:rPr>
          <w:rFonts w:ascii="Arial" w:hAnsi="Arial" w:cs="Arial"/>
          <w:sz w:val="24"/>
          <w:szCs w:val="24"/>
        </w:rPr>
        <w:t>e</w:t>
      </w:r>
      <w:r w:rsidRPr="00D31803">
        <w:rPr>
          <w:rFonts w:ascii="Arial" w:hAnsi="Arial" w:cs="Arial"/>
          <w:sz w:val="24"/>
          <w:szCs w:val="24"/>
        </w:rPr>
        <w:t xml:space="preserve"> OLIVEIRA, 2012).</w:t>
      </w:r>
      <w:r>
        <w:rPr>
          <w:rFonts w:ascii="Arial" w:hAnsi="Arial" w:cs="Arial"/>
          <w:sz w:val="24"/>
          <w:szCs w:val="24"/>
        </w:rPr>
        <w:t xml:space="preserve"> Nesse ínterim, surgem ferramentas que apoiam a gestão governamental, como é o caso dos indicadores de finanças públicas.</w:t>
      </w:r>
    </w:p>
    <w:p w:rsidR="00E25AC7" w:rsidRPr="00452ADD" w:rsidRDefault="00E25AC7" w:rsidP="00C24560">
      <w:pPr>
        <w:spacing w:after="0" w:line="360" w:lineRule="auto"/>
        <w:ind w:firstLine="735"/>
        <w:jc w:val="both"/>
        <w:rPr>
          <w:rFonts w:ascii="Arial" w:hAnsi="Arial" w:cs="Arial"/>
          <w:sz w:val="24"/>
          <w:szCs w:val="24"/>
          <w:lang w:eastAsia="pt-BR"/>
        </w:rPr>
      </w:pPr>
      <w:r w:rsidRPr="00452ADD">
        <w:rPr>
          <w:rFonts w:ascii="Arial" w:hAnsi="Arial" w:cs="Arial"/>
          <w:sz w:val="24"/>
          <w:szCs w:val="24"/>
          <w:lang w:eastAsia="pt-BR"/>
        </w:rPr>
        <w:t>Indicadores são utilizados para viabilizar a demonstração dos dados captados através de um modelo, que torne a visualização das informações mais clara, assim, “apontam, indicam, aproximam, traduzem em termos operacionais as dimensões sociais de interesse definidas a partir de escolhas teóricas ou políticas realizadas” (JANUZZI, 2009, p. 22).</w:t>
      </w:r>
      <w:r>
        <w:rPr>
          <w:rFonts w:ascii="Arial" w:hAnsi="Arial" w:cs="Arial"/>
          <w:sz w:val="24"/>
          <w:szCs w:val="24"/>
          <w:lang w:eastAsia="pt-BR"/>
        </w:rPr>
        <w:t xml:space="preserve"> </w:t>
      </w:r>
      <w:r w:rsidRPr="00452ADD">
        <w:rPr>
          <w:rFonts w:ascii="Arial" w:hAnsi="Arial" w:cs="Arial"/>
          <w:sz w:val="24"/>
          <w:szCs w:val="24"/>
          <w:lang w:eastAsia="pt-BR"/>
        </w:rPr>
        <w:t xml:space="preserve">Os indicadores podem ser de diversas naturezas: financeiros, contábeis, econômicos. Para este estudo serão considerados indicadores financeiros, intitulados por </w:t>
      </w:r>
      <w:proofErr w:type="spellStart"/>
      <w:r w:rsidRPr="00452ADD">
        <w:rPr>
          <w:rFonts w:ascii="Arial" w:hAnsi="Arial" w:cs="Arial"/>
          <w:sz w:val="24"/>
          <w:szCs w:val="24"/>
          <w:lang w:eastAsia="pt-BR"/>
        </w:rPr>
        <w:t>Riani</w:t>
      </w:r>
      <w:proofErr w:type="spellEnd"/>
      <w:r w:rsidRPr="00452ADD">
        <w:rPr>
          <w:rFonts w:ascii="Arial" w:hAnsi="Arial" w:cs="Arial"/>
          <w:sz w:val="24"/>
          <w:szCs w:val="24"/>
          <w:lang w:eastAsia="pt-BR"/>
        </w:rPr>
        <w:t xml:space="preserve"> (2002) de Indicadores de Responsabilidade Fiscal e Indicadores de </w:t>
      </w:r>
      <w:r w:rsidRPr="00FC1CD3">
        <w:rPr>
          <w:rFonts w:ascii="Arial" w:hAnsi="Arial" w:cs="Arial"/>
          <w:i/>
          <w:sz w:val="24"/>
          <w:szCs w:val="24"/>
          <w:lang w:eastAsia="pt-BR"/>
        </w:rPr>
        <w:t>Performance</w:t>
      </w:r>
      <w:r w:rsidRPr="00452ADD">
        <w:rPr>
          <w:rFonts w:ascii="Arial" w:hAnsi="Arial" w:cs="Arial"/>
          <w:sz w:val="24"/>
          <w:szCs w:val="24"/>
          <w:lang w:eastAsia="pt-BR"/>
        </w:rPr>
        <w:t xml:space="preserve">. No projeto de Extensão Bússola Municipal optou-se por utilizar estes dois grupos de indicadores de </w:t>
      </w:r>
      <w:proofErr w:type="spellStart"/>
      <w:r w:rsidRPr="00452ADD">
        <w:rPr>
          <w:rFonts w:ascii="Arial" w:hAnsi="Arial" w:cs="Arial"/>
          <w:sz w:val="24"/>
          <w:szCs w:val="24"/>
          <w:lang w:eastAsia="pt-BR"/>
        </w:rPr>
        <w:t>Riani</w:t>
      </w:r>
      <w:proofErr w:type="spellEnd"/>
      <w:r w:rsidRPr="00452ADD">
        <w:rPr>
          <w:rFonts w:ascii="Arial" w:hAnsi="Arial" w:cs="Arial"/>
          <w:sz w:val="24"/>
          <w:szCs w:val="24"/>
          <w:lang w:eastAsia="pt-BR"/>
        </w:rPr>
        <w:t xml:space="preserve"> (2002) em função de que o</w:t>
      </w:r>
      <w:r>
        <w:rPr>
          <w:rFonts w:ascii="Arial" w:hAnsi="Arial" w:cs="Arial"/>
          <w:sz w:val="24"/>
          <w:szCs w:val="24"/>
          <w:lang w:eastAsia="pt-BR"/>
        </w:rPr>
        <w:t>s I</w:t>
      </w:r>
      <w:r w:rsidRPr="00452ADD">
        <w:rPr>
          <w:rFonts w:ascii="Arial" w:hAnsi="Arial" w:cs="Arial"/>
          <w:sz w:val="24"/>
          <w:szCs w:val="24"/>
          <w:lang w:eastAsia="pt-BR"/>
        </w:rPr>
        <w:t xml:space="preserve">ndicadores de Responsabilidade mostram dados de cumprimento de limites constitucionais e limites estabelecidos na Lei Complementar 101/2000, auxiliando assim os municípios a verificarem e acompanharem seus </w:t>
      </w:r>
      <w:r w:rsidRPr="00452ADD">
        <w:rPr>
          <w:rFonts w:ascii="Arial" w:hAnsi="Arial" w:cs="Arial"/>
          <w:sz w:val="24"/>
          <w:szCs w:val="24"/>
          <w:lang w:eastAsia="pt-BR"/>
        </w:rPr>
        <w:lastRenderedPageBreak/>
        <w:t>resultados, evitando possíveis apontamentos do Tribunal de Contas. Neste estudo foram testados o cumprimento do mínimo constitucional para a saúde.</w:t>
      </w:r>
    </w:p>
    <w:p w:rsidR="00E25AC7" w:rsidRPr="002207E2" w:rsidRDefault="00E25AC7" w:rsidP="00DE4A7C">
      <w:pPr>
        <w:spacing w:after="0" w:line="360" w:lineRule="auto"/>
        <w:ind w:firstLine="700"/>
        <w:jc w:val="both"/>
        <w:rPr>
          <w:rFonts w:ascii="Arial" w:hAnsi="Arial" w:cs="Arial"/>
          <w:color w:val="FF0000"/>
          <w:sz w:val="24"/>
          <w:szCs w:val="24"/>
          <w:lang w:eastAsia="pt-BR"/>
        </w:rPr>
      </w:pPr>
      <w:r>
        <w:rPr>
          <w:rFonts w:ascii="Arial" w:hAnsi="Arial" w:cs="Arial"/>
          <w:sz w:val="24"/>
          <w:szCs w:val="24"/>
          <w:lang w:eastAsia="pt-BR"/>
        </w:rPr>
        <w:t>Acrescenta-se neste trabalho</w:t>
      </w:r>
      <w:r w:rsidRPr="00452ADD">
        <w:rPr>
          <w:rFonts w:ascii="Arial" w:hAnsi="Arial" w:cs="Arial"/>
          <w:sz w:val="24"/>
          <w:szCs w:val="24"/>
          <w:lang w:eastAsia="pt-BR"/>
        </w:rPr>
        <w:t xml:space="preserve"> outro grupo de indicadores </w:t>
      </w:r>
      <w:r>
        <w:rPr>
          <w:rFonts w:ascii="Arial" w:hAnsi="Arial" w:cs="Arial"/>
          <w:sz w:val="24"/>
          <w:szCs w:val="24"/>
          <w:lang w:eastAsia="pt-BR"/>
        </w:rPr>
        <w:t xml:space="preserve">apontado por </w:t>
      </w:r>
      <w:proofErr w:type="spellStart"/>
      <w:r>
        <w:rPr>
          <w:rFonts w:ascii="Arial" w:hAnsi="Arial" w:cs="Arial"/>
          <w:sz w:val="24"/>
          <w:szCs w:val="24"/>
          <w:lang w:eastAsia="pt-BR"/>
        </w:rPr>
        <w:t>Riani</w:t>
      </w:r>
      <w:proofErr w:type="spellEnd"/>
      <w:r>
        <w:rPr>
          <w:rFonts w:ascii="Arial" w:hAnsi="Arial" w:cs="Arial"/>
          <w:sz w:val="24"/>
          <w:szCs w:val="24"/>
          <w:lang w:eastAsia="pt-BR"/>
        </w:rPr>
        <w:t xml:space="preserve"> (2002), </w:t>
      </w:r>
      <w:r w:rsidRPr="00452ADD">
        <w:rPr>
          <w:rFonts w:ascii="Arial" w:hAnsi="Arial" w:cs="Arial"/>
          <w:sz w:val="24"/>
          <w:szCs w:val="24"/>
          <w:lang w:eastAsia="pt-BR"/>
        </w:rPr>
        <w:t xml:space="preserve">denominado Indicadores de </w:t>
      </w:r>
      <w:r w:rsidRPr="00C404AD">
        <w:rPr>
          <w:rFonts w:ascii="Arial" w:hAnsi="Arial" w:cs="Arial"/>
          <w:i/>
          <w:sz w:val="24"/>
          <w:szCs w:val="24"/>
          <w:lang w:eastAsia="pt-BR"/>
        </w:rPr>
        <w:t>Performance</w:t>
      </w:r>
      <w:r w:rsidRPr="00452ADD">
        <w:rPr>
          <w:rFonts w:ascii="Arial" w:hAnsi="Arial" w:cs="Arial"/>
          <w:sz w:val="24"/>
          <w:szCs w:val="24"/>
          <w:lang w:eastAsia="pt-BR"/>
        </w:rPr>
        <w:t>,</w:t>
      </w:r>
      <w:r>
        <w:rPr>
          <w:rFonts w:ascii="Arial" w:hAnsi="Arial" w:cs="Arial"/>
          <w:sz w:val="24"/>
          <w:szCs w:val="24"/>
          <w:lang w:eastAsia="pt-BR"/>
        </w:rPr>
        <w:t xml:space="preserve"> e que são </w:t>
      </w:r>
      <w:r w:rsidRPr="00452ADD">
        <w:rPr>
          <w:rFonts w:ascii="Arial" w:hAnsi="Arial" w:cs="Arial"/>
          <w:sz w:val="24"/>
          <w:szCs w:val="24"/>
          <w:lang w:eastAsia="pt-BR"/>
        </w:rPr>
        <w:t>originados a partir da execução da atividade financeira do governo</w:t>
      </w:r>
      <w:r>
        <w:rPr>
          <w:rFonts w:ascii="Arial" w:hAnsi="Arial" w:cs="Arial"/>
          <w:sz w:val="24"/>
          <w:szCs w:val="24"/>
          <w:lang w:eastAsia="pt-BR"/>
        </w:rPr>
        <w:t>, com o objetivo de auxiliar na gestão dos recursos públicos</w:t>
      </w:r>
      <w:r w:rsidRPr="00452ADD">
        <w:rPr>
          <w:rFonts w:ascii="Arial" w:hAnsi="Arial" w:cs="Arial"/>
          <w:sz w:val="24"/>
          <w:szCs w:val="24"/>
          <w:lang w:eastAsia="pt-BR"/>
        </w:rPr>
        <w:t xml:space="preserve">. Estes indicadores, segundo </w:t>
      </w:r>
      <w:proofErr w:type="spellStart"/>
      <w:r w:rsidRPr="00452ADD">
        <w:rPr>
          <w:rFonts w:ascii="Arial" w:hAnsi="Arial" w:cs="Arial"/>
          <w:sz w:val="24"/>
          <w:szCs w:val="24"/>
          <w:lang w:eastAsia="pt-BR"/>
        </w:rPr>
        <w:t>Riani</w:t>
      </w:r>
      <w:proofErr w:type="spellEnd"/>
      <w:r w:rsidRPr="00452ADD">
        <w:rPr>
          <w:rFonts w:ascii="Arial" w:hAnsi="Arial" w:cs="Arial"/>
          <w:sz w:val="24"/>
          <w:szCs w:val="24"/>
          <w:lang w:eastAsia="pt-BR"/>
        </w:rPr>
        <w:t xml:space="preserve"> (2002, </w:t>
      </w:r>
      <w:proofErr w:type="spellStart"/>
      <w:r w:rsidRPr="00452ADD">
        <w:rPr>
          <w:rFonts w:ascii="Arial" w:hAnsi="Arial" w:cs="Arial"/>
          <w:sz w:val="24"/>
          <w:szCs w:val="24"/>
          <w:lang w:eastAsia="pt-BR"/>
        </w:rPr>
        <w:t>pg</w:t>
      </w:r>
      <w:proofErr w:type="spellEnd"/>
      <w:r w:rsidRPr="00452ADD">
        <w:rPr>
          <w:rFonts w:ascii="Arial" w:hAnsi="Arial" w:cs="Arial"/>
          <w:sz w:val="24"/>
          <w:szCs w:val="24"/>
          <w:lang w:eastAsia="pt-BR"/>
        </w:rPr>
        <w:t xml:space="preserve"> 157), “(...) não tem amparo ou obrigatoriedade legal”, mas são fundamentais no apoio às medidas de avaliação da situação financeira dos e</w:t>
      </w:r>
      <w:r>
        <w:rPr>
          <w:rFonts w:ascii="Arial" w:hAnsi="Arial" w:cs="Arial"/>
          <w:sz w:val="24"/>
          <w:szCs w:val="24"/>
          <w:lang w:eastAsia="pt-BR"/>
        </w:rPr>
        <w:t>ntes governamentais. Dentre os I</w:t>
      </w:r>
      <w:r w:rsidRPr="00452ADD">
        <w:rPr>
          <w:rFonts w:ascii="Arial" w:hAnsi="Arial" w:cs="Arial"/>
          <w:sz w:val="24"/>
          <w:szCs w:val="24"/>
          <w:lang w:eastAsia="pt-BR"/>
        </w:rPr>
        <w:t xml:space="preserve">ndicadores de </w:t>
      </w:r>
      <w:r>
        <w:rPr>
          <w:rFonts w:ascii="Arial" w:hAnsi="Arial" w:cs="Arial"/>
          <w:i/>
          <w:sz w:val="24"/>
          <w:szCs w:val="24"/>
          <w:lang w:eastAsia="pt-BR"/>
        </w:rPr>
        <w:t>P</w:t>
      </w:r>
      <w:r w:rsidRPr="00C404AD">
        <w:rPr>
          <w:rFonts w:ascii="Arial" w:hAnsi="Arial" w:cs="Arial"/>
          <w:i/>
          <w:sz w:val="24"/>
          <w:szCs w:val="24"/>
          <w:lang w:eastAsia="pt-BR"/>
        </w:rPr>
        <w:t>erformance</w:t>
      </w:r>
      <w:r w:rsidRPr="00452ADD">
        <w:rPr>
          <w:rFonts w:ascii="Arial" w:hAnsi="Arial" w:cs="Arial"/>
          <w:sz w:val="24"/>
          <w:szCs w:val="24"/>
          <w:lang w:eastAsia="pt-BR"/>
        </w:rPr>
        <w:t>, este estudo dedico</w:t>
      </w:r>
      <w:r>
        <w:rPr>
          <w:rFonts w:ascii="Arial" w:hAnsi="Arial" w:cs="Arial"/>
          <w:sz w:val="24"/>
          <w:szCs w:val="24"/>
          <w:lang w:eastAsia="pt-BR"/>
        </w:rPr>
        <w:t>u-se a verificar: gastos médios e</w:t>
      </w:r>
      <w:r w:rsidRPr="00452ADD">
        <w:rPr>
          <w:rFonts w:ascii="Arial" w:hAnsi="Arial" w:cs="Arial"/>
          <w:sz w:val="24"/>
          <w:szCs w:val="24"/>
          <w:lang w:eastAsia="pt-BR"/>
        </w:rPr>
        <w:t xml:space="preserve">  gastos </w:t>
      </w:r>
      <w:r w:rsidRPr="00D2254D">
        <w:rPr>
          <w:rFonts w:ascii="Arial" w:hAnsi="Arial" w:cs="Arial"/>
          <w:i/>
          <w:sz w:val="24"/>
          <w:szCs w:val="24"/>
          <w:lang w:eastAsia="pt-BR"/>
        </w:rPr>
        <w:t>per capita</w:t>
      </w:r>
      <w:r>
        <w:rPr>
          <w:rFonts w:ascii="Arial" w:hAnsi="Arial" w:cs="Arial"/>
          <w:sz w:val="24"/>
          <w:szCs w:val="24"/>
          <w:lang w:eastAsia="pt-BR"/>
        </w:rPr>
        <w:t xml:space="preserve"> quando relacionados com os recursos próprios e os gastos por função quando relacionados com os gastos totais do município. Por recursos próprios entenda-se a arrecadação total do município deduzindo-se desta as transferências governamentais (SILVA, 2001 e CRUZ, 2001).</w:t>
      </w:r>
    </w:p>
    <w:p w:rsidR="00E25AC7" w:rsidRDefault="00E25AC7" w:rsidP="00003D4A">
      <w:pPr>
        <w:spacing w:after="0" w:line="360" w:lineRule="auto"/>
        <w:ind w:firstLine="720"/>
        <w:jc w:val="both"/>
        <w:rPr>
          <w:rFonts w:ascii="Arial" w:hAnsi="Arial" w:cs="Arial"/>
          <w:sz w:val="24"/>
          <w:szCs w:val="24"/>
          <w:lang w:eastAsia="pt-BR"/>
        </w:rPr>
      </w:pPr>
      <w:r>
        <w:rPr>
          <w:rFonts w:ascii="Arial" w:hAnsi="Arial" w:cs="Arial"/>
          <w:sz w:val="24"/>
          <w:szCs w:val="24"/>
          <w:lang w:eastAsia="pt-BR"/>
        </w:rPr>
        <w:t>Salienta-se, para fins de possibilitar uma melhor leitura destes indicadores na seção dos resultados,</w:t>
      </w:r>
      <w:r w:rsidRPr="00452ADD">
        <w:rPr>
          <w:rFonts w:ascii="Arial" w:hAnsi="Arial" w:cs="Arial"/>
          <w:sz w:val="24"/>
          <w:szCs w:val="24"/>
          <w:lang w:eastAsia="pt-BR"/>
        </w:rPr>
        <w:t xml:space="preserve"> que as despesas públicas têm diversas formas de serem apresentadas, sendo que um dos relatórios é denominado “Despesas por Função” e representa grupos de despesas das diversas áreas que competem o setor público, como por exemplo, as funções de saúde, assistência, segurança, judiciária, legislativa, entre outras (TCE/SC, 2012).</w:t>
      </w:r>
      <w:r>
        <w:rPr>
          <w:rFonts w:ascii="Arial" w:hAnsi="Arial" w:cs="Arial"/>
          <w:sz w:val="24"/>
          <w:szCs w:val="24"/>
          <w:lang w:eastAsia="pt-BR"/>
        </w:rPr>
        <w:t xml:space="preserve"> </w:t>
      </w:r>
    </w:p>
    <w:p w:rsidR="00E25AC7" w:rsidRDefault="00E25AC7" w:rsidP="00003D4A">
      <w:pPr>
        <w:spacing w:after="0" w:line="360" w:lineRule="auto"/>
        <w:ind w:firstLine="720"/>
        <w:jc w:val="both"/>
        <w:rPr>
          <w:rFonts w:ascii="Arial" w:hAnsi="Arial" w:cs="Arial"/>
          <w:sz w:val="24"/>
          <w:szCs w:val="24"/>
          <w:lang w:eastAsia="pt-BR"/>
        </w:rPr>
      </w:pPr>
      <w:r>
        <w:rPr>
          <w:rFonts w:ascii="Arial" w:hAnsi="Arial" w:cs="Arial"/>
          <w:sz w:val="24"/>
          <w:szCs w:val="24"/>
          <w:lang w:eastAsia="pt-BR"/>
        </w:rPr>
        <w:t>Finalmente, destaca-se também que a Emenda Constitucional 29/2000 permitiu que os entes da federação adequassem gradativamente seus percentuais de aplicação na área da saúde pública, do ano de 2000 até 2004 (Brasil, 2012b), por isso este estudo considera para o cumprimento do mínimo constitucional, períodos a partir do ano de 2004.</w:t>
      </w:r>
    </w:p>
    <w:p w:rsidR="00E25AC7" w:rsidRDefault="00E25AC7" w:rsidP="00765668">
      <w:pPr>
        <w:pStyle w:val="SemEspaamento"/>
        <w:spacing w:line="360" w:lineRule="auto"/>
        <w:rPr>
          <w:rFonts w:ascii="Arial" w:hAnsi="Arial" w:cs="Arial"/>
          <w:b/>
          <w:sz w:val="24"/>
          <w:szCs w:val="24"/>
          <w:lang w:eastAsia="pt-BR"/>
        </w:rPr>
      </w:pPr>
      <w:r w:rsidRPr="00452ADD">
        <w:rPr>
          <w:lang w:eastAsia="pt-BR"/>
        </w:rPr>
        <w:br/>
      </w:r>
      <w:r w:rsidRPr="003B0D46">
        <w:rPr>
          <w:rFonts w:ascii="Arial" w:hAnsi="Arial" w:cs="Arial"/>
          <w:b/>
          <w:sz w:val="24"/>
          <w:szCs w:val="24"/>
          <w:lang w:eastAsia="pt-BR"/>
        </w:rPr>
        <w:t>Procedimentos metodológicos</w:t>
      </w:r>
    </w:p>
    <w:p w:rsidR="00E25AC7" w:rsidRPr="001F274B" w:rsidRDefault="00E25AC7" w:rsidP="00765668">
      <w:pPr>
        <w:pStyle w:val="SemEspaamento"/>
        <w:spacing w:line="360" w:lineRule="auto"/>
        <w:ind w:firstLine="708"/>
        <w:jc w:val="both"/>
        <w:rPr>
          <w:rFonts w:ascii="Arial" w:hAnsi="Arial" w:cs="Arial"/>
          <w:sz w:val="24"/>
          <w:szCs w:val="24"/>
          <w:lang w:eastAsia="pt-BR"/>
        </w:rPr>
      </w:pPr>
      <w:r w:rsidRPr="001F274B">
        <w:rPr>
          <w:rFonts w:ascii="Arial" w:hAnsi="Arial" w:cs="Arial"/>
          <w:sz w:val="24"/>
          <w:szCs w:val="24"/>
          <w:lang w:eastAsia="pt-BR"/>
        </w:rPr>
        <w:t xml:space="preserve">Esta seção expõe os procedimentos utilizados no desenvolvimento desta pesquisa. Serão apresentados: tipo e técnica de pesquisa, o levantamento e o tratamento das informações e as limitações da pesquisa. Sobre o tipo e técnica de pesquisa, pode-se classificar este estudo </w:t>
      </w:r>
      <w:proofErr w:type="spellStart"/>
      <w:r w:rsidRPr="001F274B">
        <w:rPr>
          <w:rFonts w:ascii="Arial" w:hAnsi="Arial" w:cs="Arial"/>
          <w:sz w:val="24"/>
          <w:szCs w:val="24"/>
          <w:lang w:eastAsia="pt-BR"/>
        </w:rPr>
        <w:t>quali</w:t>
      </w:r>
      <w:proofErr w:type="spellEnd"/>
      <w:r w:rsidRPr="001F274B">
        <w:rPr>
          <w:rFonts w:ascii="Arial" w:hAnsi="Arial" w:cs="Arial"/>
          <w:sz w:val="24"/>
          <w:szCs w:val="24"/>
          <w:lang w:eastAsia="pt-BR"/>
        </w:rPr>
        <w:t xml:space="preserve">-quanti, sendo que o método quantitativo emprega um instrumental estatístico como base do processo de análise de um problema, enquanto que na abordagem qualitativa busca-se entender a natureza de um fenômeno social através da interpretação dos acontecimentos (Richardson, 1999). Salienta-se que pesquisas qualitativas são descritivas, pois, </w:t>
      </w:r>
      <w:r w:rsidRPr="001F274B">
        <w:rPr>
          <w:rFonts w:ascii="Arial" w:hAnsi="Arial" w:cs="Arial"/>
          <w:sz w:val="24"/>
          <w:szCs w:val="24"/>
          <w:lang w:eastAsia="pt-BR"/>
        </w:rPr>
        <w:lastRenderedPageBreak/>
        <w:t xml:space="preserve">segundo </w:t>
      </w:r>
      <w:proofErr w:type="spellStart"/>
      <w:r w:rsidRPr="001F274B">
        <w:rPr>
          <w:rFonts w:ascii="Arial" w:hAnsi="Arial" w:cs="Arial"/>
          <w:sz w:val="24"/>
          <w:szCs w:val="24"/>
          <w:lang w:eastAsia="pt-BR"/>
        </w:rPr>
        <w:t>Triviños</w:t>
      </w:r>
      <w:proofErr w:type="spellEnd"/>
      <w:r w:rsidRPr="001F274B">
        <w:rPr>
          <w:rFonts w:ascii="Arial" w:hAnsi="Arial" w:cs="Arial"/>
          <w:sz w:val="24"/>
          <w:szCs w:val="24"/>
          <w:lang w:eastAsia="pt-BR"/>
        </w:rPr>
        <w:t xml:space="preserve"> (1987) o estudo descritivo objetiva descrever com exatidão os fatos e fenômenos de determinada realidade. </w:t>
      </w:r>
    </w:p>
    <w:p w:rsidR="00E25AC7" w:rsidRPr="001F274B" w:rsidRDefault="00E25AC7" w:rsidP="003B0D46">
      <w:pPr>
        <w:spacing w:after="0" w:line="360" w:lineRule="auto"/>
        <w:ind w:firstLine="720"/>
        <w:jc w:val="both"/>
        <w:rPr>
          <w:rFonts w:ascii="Arial" w:hAnsi="Arial" w:cs="Arial"/>
          <w:sz w:val="24"/>
          <w:szCs w:val="24"/>
          <w:lang w:eastAsia="pt-BR"/>
        </w:rPr>
      </w:pPr>
      <w:r w:rsidRPr="001F274B">
        <w:rPr>
          <w:rFonts w:ascii="Arial" w:hAnsi="Arial" w:cs="Arial"/>
          <w:sz w:val="24"/>
          <w:szCs w:val="24"/>
          <w:lang w:eastAsia="pt-BR"/>
        </w:rPr>
        <w:t>No item de levantamento e o tratamento das informações, o estudo teve seu início com pesquisa bibliográfica, por meio da web, na legislação e em obras que tratam o tema das finanças da saúde pública no Brasil. Segundo Gil (2002),  a  pesquisa  bibliográfica  desenvolve-se  baseada em material já  existente, principalmente  livros  e  artigos científicos. A pesquisa bibliográfica propicia que o pesquisador examine um tema com um olhar diferenciado, com uma nova abordagem, podendo fundamentar e concluir sobre ideias inovadoras (LAKATOS; MARCONI, 1990).</w:t>
      </w:r>
    </w:p>
    <w:p w:rsidR="00E25AC7" w:rsidRDefault="00E25AC7" w:rsidP="001F274B">
      <w:pPr>
        <w:spacing w:after="0" w:line="360" w:lineRule="auto"/>
        <w:ind w:firstLine="700"/>
        <w:jc w:val="both"/>
        <w:rPr>
          <w:rFonts w:ascii="Arial" w:hAnsi="Arial" w:cs="Arial"/>
          <w:sz w:val="24"/>
          <w:szCs w:val="24"/>
          <w:lang w:eastAsia="pt-BR"/>
        </w:rPr>
      </w:pPr>
      <w:r w:rsidRPr="001F274B">
        <w:rPr>
          <w:rFonts w:ascii="Arial" w:hAnsi="Arial" w:cs="Arial"/>
          <w:sz w:val="24"/>
          <w:szCs w:val="24"/>
          <w:lang w:eastAsia="pt-BR"/>
        </w:rPr>
        <w:t>A coleta dos dados financeiros da saúde pública foi realizada no site do Tribunal de Contas do Estado de Santa Catarina. Para o tratamento e a análise dos dados foi utilizado as planilhas em Excel, fazendo o cruzamento dos valores e elaborando quadros com os indicadores de performance e de responsabilidade fiscal.</w:t>
      </w:r>
    </w:p>
    <w:p w:rsidR="00E25AC7" w:rsidRDefault="00E25AC7" w:rsidP="001F274B">
      <w:pPr>
        <w:spacing w:after="0" w:line="360" w:lineRule="auto"/>
        <w:ind w:firstLine="700"/>
        <w:jc w:val="both"/>
        <w:rPr>
          <w:rFonts w:ascii="Arial" w:hAnsi="Arial" w:cs="Arial"/>
          <w:sz w:val="24"/>
          <w:szCs w:val="24"/>
          <w:lang w:eastAsia="pt-BR"/>
        </w:rPr>
      </w:pPr>
      <w:r>
        <w:rPr>
          <w:rFonts w:ascii="Arial" w:hAnsi="Arial" w:cs="Arial"/>
          <w:sz w:val="24"/>
          <w:szCs w:val="24"/>
          <w:lang w:eastAsia="pt-BR"/>
        </w:rPr>
        <w:t xml:space="preserve">A escolha da região político administrativa da Secretaria Regional de Desenvolvimento SDR baseou-se na necessidade de acompanhamento desta estrutura que foi instituída recentemente, no ano de 2003, no Estado de Santa Catarina, com o mapeamento de atual de 36 </w:t>
      </w:r>
      <w:proofErr w:type="spellStart"/>
      <w:r w:rsidRPr="00007BFD">
        <w:rPr>
          <w:rFonts w:ascii="Arial" w:hAnsi="Arial" w:cs="Arial"/>
          <w:sz w:val="24"/>
          <w:szCs w:val="24"/>
          <w:lang w:eastAsia="pt-BR"/>
        </w:rPr>
        <w:t>SDRs</w:t>
      </w:r>
      <w:proofErr w:type="spellEnd"/>
      <w:r w:rsidRPr="00007BFD">
        <w:rPr>
          <w:rFonts w:ascii="Arial" w:hAnsi="Arial" w:cs="Arial"/>
          <w:sz w:val="24"/>
          <w:szCs w:val="24"/>
          <w:lang w:eastAsia="pt-BR"/>
        </w:rPr>
        <w:t xml:space="preserve"> </w:t>
      </w:r>
      <w:r w:rsidRPr="00007BFD">
        <w:rPr>
          <w:rFonts w:ascii="Arial" w:hAnsi="Arial" w:cs="Arial"/>
          <w:sz w:val="24"/>
          <w:szCs w:val="24"/>
        </w:rPr>
        <w:t>(SANTA CATARINA, 2011)</w:t>
      </w:r>
      <w:r w:rsidRPr="00007BFD">
        <w:rPr>
          <w:rFonts w:ascii="Arial" w:hAnsi="Arial" w:cs="Arial"/>
          <w:sz w:val="24"/>
          <w:szCs w:val="24"/>
          <w:lang w:eastAsia="pt-BR"/>
        </w:rPr>
        <w:t>.</w:t>
      </w:r>
      <w:r>
        <w:rPr>
          <w:rFonts w:ascii="Arial" w:hAnsi="Arial" w:cs="Arial"/>
          <w:sz w:val="24"/>
          <w:szCs w:val="24"/>
          <w:lang w:eastAsia="pt-BR"/>
        </w:rPr>
        <w:t xml:space="preserve"> Assim, como projeto piloto para aplicação do estudo dos indicadores financeiros optou-se pela SDR de Itajaí. No Mapa 1 pode-se verificar os municípios que compõem esta SDR.</w:t>
      </w:r>
    </w:p>
    <w:p w:rsidR="00E25AC7" w:rsidRPr="00790329" w:rsidRDefault="00E25AC7" w:rsidP="006B13A3">
      <w:pPr>
        <w:spacing w:after="0" w:line="360" w:lineRule="auto"/>
        <w:ind w:firstLine="700"/>
        <w:jc w:val="center"/>
        <w:rPr>
          <w:rFonts w:ascii="Arial" w:hAnsi="Arial" w:cs="Arial"/>
          <w:b/>
          <w:sz w:val="24"/>
          <w:szCs w:val="24"/>
          <w:lang w:eastAsia="pt-BR"/>
        </w:rPr>
      </w:pPr>
      <w:r w:rsidRPr="006B13A3">
        <w:rPr>
          <w:rFonts w:ascii="Arial" w:hAnsi="Arial" w:cs="Arial"/>
          <w:b/>
          <w:sz w:val="24"/>
          <w:szCs w:val="24"/>
          <w:lang w:eastAsia="pt-BR"/>
        </w:rPr>
        <w:t>Mapa 1</w:t>
      </w:r>
      <w:r>
        <w:rPr>
          <w:rFonts w:ascii="Arial" w:hAnsi="Arial" w:cs="Arial"/>
          <w:b/>
          <w:sz w:val="24"/>
          <w:szCs w:val="24"/>
          <w:lang w:eastAsia="pt-BR"/>
        </w:rPr>
        <w:t xml:space="preserve"> -</w:t>
      </w:r>
      <w:r>
        <w:rPr>
          <w:rFonts w:ascii="Arial" w:hAnsi="Arial" w:cs="Arial"/>
          <w:sz w:val="24"/>
          <w:szCs w:val="24"/>
          <w:lang w:eastAsia="pt-BR"/>
        </w:rPr>
        <w:t xml:space="preserve"> </w:t>
      </w:r>
      <w:r w:rsidRPr="00790329">
        <w:rPr>
          <w:rFonts w:ascii="Arial" w:hAnsi="Arial" w:cs="Arial"/>
          <w:b/>
          <w:sz w:val="24"/>
          <w:szCs w:val="24"/>
          <w:lang w:eastAsia="pt-BR"/>
        </w:rPr>
        <w:t>Municípios que compõem a SDR de Itajaí – SC.</w:t>
      </w:r>
    </w:p>
    <w:p w:rsidR="00E25AC7" w:rsidRDefault="00E25AC7" w:rsidP="001F274B">
      <w:pPr>
        <w:spacing w:after="0" w:line="360" w:lineRule="auto"/>
        <w:ind w:firstLine="700"/>
        <w:jc w:val="both"/>
        <w:rPr>
          <w:rFonts w:ascii="Arial" w:hAnsi="Arial" w:cs="Arial"/>
          <w:sz w:val="24"/>
          <w:szCs w:val="24"/>
          <w:lang w:eastAsia="pt-BR"/>
        </w:rPr>
      </w:pPr>
    </w:p>
    <w:p w:rsidR="00E25AC7" w:rsidRPr="001F274B" w:rsidRDefault="00EE5DA4" w:rsidP="001F274B">
      <w:pPr>
        <w:spacing w:after="0" w:line="360" w:lineRule="auto"/>
        <w:ind w:firstLine="700"/>
        <w:jc w:val="both"/>
        <w:rPr>
          <w:rFonts w:ascii="Arial" w:hAnsi="Arial" w:cs="Arial"/>
          <w:sz w:val="24"/>
          <w:szCs w:val="24"/>
          <w:lang w:eastAsia="pt-BR"/>
        </w:rPr>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 o:spid="_x0000_i1025" type="#_x0000_t75" alt="http://www.sc.gov.br/conteudo/governo/regionais/imagensregionais/mapasreg_old/reg_itajai.jpg" style="width:408pt;height:162pt;visibility:visible">
            <v:imagedata r:id="rId7" o:title=""/>
          </v:shape>
        </w:pict>
      </w:r>
    </w:p>
    <w:p w:rsidR="00E25AC7" w:rsidRPr="00D677DF" w:rsidRDefault="00E25AC7" w:rsidP="00D677DF">
      <w:pPr>
        <w:spacing w:after="0" w:line="360" w:lineRule="auto"/>
        <w:ind w:firstLine="700"/>
        <w:jc w:val="center"/>
        <w:rPr>
          <w:rFonts w:ascii="Arial" w:hAnsi="Arial" w:cs="Arial"/>
          <w:sz w:val="20"/>
          <w:szCs w:val="20"/>
          <w:lang w:eastAsia="pt-BR"/>
        </w:rPr>
      </w:pPr>
      <w:r w:rsidRPr="00D677DF">
        <w:rPr>
          <w:rFonts w:ascii="Arial" w:hAnsi="Arial" w:cs="Arial"/>
          <w:sz w:val="20"/>
          <w:szCs w:val="20"/>
          <w:lang w:eastAsia="pt-BR"/>
        </w:rPr>
        <w:t xml:space="preserve">Fonte: </w:t>
      </w:r>
      <w:r w:rsidRPr="00D677DF">
        <w:rPr>
          <w:rFonts w:ascii="Arial" w:hAnsi="Arial" w:cs="Arial"/>
          <w:sz w:val="20"/>
          <w:szCs w:val="20"/>
        </w:rPr>
        <w:t>SPG/SC</w:t>
      </w:r>
      <w:r w:rsidRPr="00D677DF">
        <w:rPr>
          <w:rFonts w:ascii="Arial" w:hAnsi="Arial" w:cs="Arial"/>
          <w:sz w:val="20"/>
          <w:szCs w:val="20"/>
          <w:lang w:eastAsia="pt-BR"/>
        </w:rPr>
        <w:t xml:space="preserve"> (2012).</w:t>
      </w:r>
    </w:p>
    <w:p w:rsidR="00E25AC7" w:rsidRPr="001F274B" w:rsidRDefault="00E25AC7" w:rsidP="001F274B">
      <w:pPr>
        <w:spacing w:after="0" w:line="360" w:lineRule="auto"/>
        <w:ind w:firstLine="700"/>
        <w:jc w:val="both"/>
        <w:rPr>
          <w:rFonts w:ascii="Arial" w:hAnsi="Arial" w:cs="Arial"/>
          <w:sz w:val="24"/>
          <w:szCs w:val="24"/>
          <w:lang w:eastAsia="pt-BR"/>
        </w:rPr>
      </w:pPr>
      <w:r>
        <w:rPr>
          <w:rFonts w:ascii="Arial" w:hAnsi="Arial" w:cs="Arial"/>
          <w:sz w:val="24"/>
          <w:szCs w:val="24"/>
          <w:lang w:eastAsia="pt-BR"/>
        </w:rPr>
        <w:lastRenderedPageBreak/>
        <w:t>Ainda, dos noves municípios foram selecionados três</w:t>
      </w:r>
      <w:r w:rsidRPr="00296E48">
        <w:rPr>
          <w:rFonts w:ascii="Arial" w:hAnsi="Arial" w:cs="Arial"/>
          <w:sz w:val="24"/>
          <w:szCs w:val="24"/>
          <w:lang w:eastAsia="pt-BR"/>
        </w:rPr>
        <w:t xml:space="preserve"> </w:t>
      </w:r>
      <w:r>
        <w:rPr>
          <w:rFonts w:ascii="Arial" w:hAnsi="Arial" w:cs="Arial"/>
          <w:sz w:val="24"/>
          <w:szCs w:val="24"/>
          <w:lang w:eastAsia="pt-BR"/>
        </w:rPr>
        <w:t xml:space="preserve">para a apresentação dos dados. </w:t>
      </w:r>
      <w:r w:rsidRPr="001F274B">
        <w:rPr>
          <w:rFonts w:ascii="Arial" w:hAnsi="Arial" w:cs="Arial"/>
          <w:sz w:val="24"/>
          <w:szCs w:val="24"/>
          <w:lang w:eastAsia="pt-BR"/>
        </w:rPr>
        <w:t xml:space="preserve">A escolha dos municípios levou em consideração os dados socioeconômicos do quadro </w:t>
      </w:r>
      <w:proofErr w:type="gramStart"/>
      <w:r w:rsidRPr="001F274B">
        <w:rPr>
          <w:rFonts w:ascii="Arial" w:hAnsi="Arial" w:cs="Arial"/>
          <w:sz w:val="24"/>
          <w:szCs w:val="24"/>
          <w:lang w:eastAsia="pt-BR"/>
        </w:rPr>
        <w:t>2</w:t>
      </w:r>
      <w:proofErr w:type="gramEnd"/>
      <w:r w:rsidRPr="001F274B">
        <w:rPr>
          <w:rFonts w:ascii="Arial" w:hAnsi="Arial" w:cs="Arial"/>
          <w:sz w:val="24"/>
          <w:szCs w:val="24"/>
          <w:lang w:eastAsia="pt-BR"/>
        </w:rPr>
        <w:t xml:space="preserve">, no tocante à classificação do maior para o menor IDH. </w:t>
      </w:r>
    </w:p>
    <w:p w:rsidR="00E25AC7" w:rsidRPr="001C741E" w:rsidRDefault="00EE5DA4" w:rsidP="00DE4A7C">
      <w:pPr>
        <w:spacing w:after="0" w:line="360" w:lineRule="auto"/>
        <w:jc w:val="center"/>
        <w:rPr>
          <w:rFonts w:ascii="Arial" w:hAnsi="Arial" w:cs="Arial"/>
          <w:b/>
          <w:sz w:val="24"/>
          <w:szCs w:val="24"/>
          <w:lang w:eastAsia="pt-BR"/>
        </w:rPr>
      </w:pPr>
      <w:bookmarkStart w:id="0" w:name="_GoBack"/>
      <w:bookmarkEnd w:id="0"/>
      <w:r w:rsidRPr="00EE5DA4">
        <w:rPr>
          <w:rFonts w:ascii="Arial" w:hAnsi="Arial" w:cs="Arial"/>
          <w:b/>
          <w:sz w:val="24"/>
          <w:szCs w:val="24"/>
          <w:lang w:eastAsia="pt-BR"/>
        </w:rPr>
        <w:t xml:space="preserve"> </w:t>
      </w:r>
      <w:r w:rsidRPr="001F274B">
        <w:rPr>
          <w:rFonts w:ascii="Arial" w:hAnsi="Arial" w:cs="Arial"/>
          <w:b/>
          <w:sz w:val="24"/>
          <w:szCs w:val="24"/>
          <w:lang w:eastAsia="pt-BR"/>
        </w:rPr>
        <w:t>Quadro 2</w:t>
      </w:r>
      <w:r>
        <w:rPr>
          <w:rFonts w:ascii="Arial" w:hAnsi="Arial" w:cs="Arial"/>
          <w:b/>
          <w:sz w:val="24"/>
          <w:szCs w:val="24"/>
          <w:lang w:eastAsia="pt-BR"/>
        </w:rPr>
        <w:t xml:space="preserve"> -</w:t>
      </w:r>
      <w:r w:rsidRPr="001F274B">
        <w:rPr>
          <w:rFonts w:ascii="Arial" w:hAnsi="Arial" w:cs="Arial"/>
          <w:sz w:val="24"/>
          <w:szCs w:val="24"/>
          <w:lang w:eastAsia="pt-BR"/>
        </w:rPr>
        <w:t xml:space="preserve"> </w:t>
      </w:r>
      <w:r w:rsidRPr="001C741E">
        <w:rPr>
          <w:rFonts w:ascii="Arial" w:hAnsi="Arial" w:cs="Arial"/>
          <w:b/>
          <w:sz w:val="24"/>
          <w:szCs w:val="24"/>
          <w:lang w:eastAsia="pt-BR"/>
        </w:rPr>
        <w:t>Dados socioeconômicos dos municípios da SDR de Itajaí</w:t>
      </w:r>
    </w:p>
    <w:tbl>
      <w:tblPr>
        <w:tblW w:w="7320" w:type="dxa"/>
        <w:jc w:val="center"/>
        <w:tblInd w:w="55" w:type="dxa"/>
        <w:tblCellMar>
          <w:left w:w="70" w:type="dxa"/>
          <w:right w:w="70" w:type="dxa"/>
        </w:tblCellMar>
        <w:tblLook w:val="00A0" w:firstRow="1" w:lastRow="0" w:firstColumn="1" w:lastColumn="0" w:noHBand="0" w:noVBand="0"/>
      </w:tblPr>
      <w:tblGrid>
        <w:gridCol w:w="1421"/>
        <w:gridCol w:w="1542"/>
        <w:gridCol w:w="1354"/>
        <w:gridCol w:w="1305"/>
        <w:gridCol w:w="823"/>
        <w:gridCol w:w="875"/>
      </w:tblGrid>
      <w:tr w:rsidR="00E25AC7" w:rsidRPr="008313B9" w:rsidTr="00140F0E">
        <w:trPr>
          <w:trHeight w:val="636"/>
          <w:jc w:val="center"/>
        </w:trPr>
        <w:tc>
          <w:tcPr>
            <w:tcW w:w="1300" w:type="dxa"/>
            <w:tcBorders>
              <w:top w:val="single" w:sz="8" w:space="0" w:color="auto"/>
              <w:left w:val="single" w:sz="8" w:space="0" w:color="auto"/>
              <w:bottom w:val="single" w:sz="8" w:space="0" w:color="auto"/>
              <w:right w:val="single" w:sz="4" w:space="0" w:color="auto"/>
            </w:tcBorders>
            <w:shd w:val="clear" w:color="000000" w:fill="C4BD97"/>
            <w:vAlign w:val="center"/>
          </w:tcPr>
          <w:p w:rsidR="00E25AC7" w:rsidRPr="001F274B" w:rsidRDefault="00E25AC7" w:rsidP="00140F0E">
            <w:pPr>
              <w:spacing w:after="0" w:line="240" w:lineRule="auto"/>
              <w:jc w:val="center"/>
              <w:rPr>
                <w:rFonts w:ascii="Arial" w:hAnsi="Arial" w:cs="Arial"/>
                <w:b/>
                <w:bCs/>
                <w:sz w:val="24"/>
                <w:szCs w:val="24"/>
                <w:lang w:eastAsia="pt-BR"/>
              </w:rPr>
            </w:pPr>
            <w:r w:rsidRPr="001F274B">
              <w:rPr>
                <w:rFonts w:ascii="Arial" w:hAnsi="Arial" w:cs="Arial"/>
                <w:b/>
                <w:bCs/>
                <w:sz w:val="24"/>
                <w:szCs w:val="24"/>
                <w:lang w:eastAsia="pt-BR"/>
              </w:rPr>
              <w:t>Municípios SDR Itajaí</w:t>
            </w:r>
          </w:p>
        </w:tc>
        <w:tc>
          <w:tcPr>
            <w:tcW w:w="1360" w:type="dxa"/>
            <w:tcBorders>
              <w:top w:val="single" w:sz="8" w:space="0" w:color="auto"/>
              <w:left w:val="nil"/>
              <w:bottom w:val="single" w:sz="8" w:space="0" w:color="auto"/>
              <w:right w:val="single" w:sz="4" w:space="0" w:color="auto"/>
            </w:tcBorders>
            <w:shd w:val="clear" w:color="000000" w:fill="C4BD97"/>
            <w:vAlign w:val="center"/>
          </w:tcPr>
          <w:p w:rsidR="00E25AC7" w:rsidRPr="001F274B" w:rsidRDefault="00E25AC7" w:rsidP="00140F0E">
            <w:pPr>
              <w:spacing w:after="0" w:line="240" w:lineRule="auto"/>
              <w:jc w:val="center"/>
              <w:rPr>
                <w:rFonts w:ascii="Arial" w:hAnsi="Arial" w:cs="Arial"/>
                <w:b/>
                <w:bCs/>
                <w:sz w:val="24"/>
                <w:szCs w:val="24"/>
                <w:lang w:eastAsia="pt-BR"/>
              </w:rPr>
            </w:pPr>
            <w:r w:rsidRPr="001F274B">
              <w:rPr>
                <w:rFonts w:ascii="Arial" w:hAnsi="Arial" w:cs="Arial"/>
                <w:b/>
                <w:bCs/>
                <w:sz w:val="24"/>
                <w:szCs w:val="24"/>
                <w:lang w:eastAsia="pt-BR"/>
              </w:rPr>
              <w:t>PIB ($ Mi)</w:t>
            </w:r>
          </w:p>
        </w:tc>
        <w:tc>
          <w:tcPr>
            <w:tcW w:w="1160" w:type="dxa"/>
            <w:tcBorders>
              <w:top w:val="single" w:sz="8" w:space="0" w:color="auto"/>
              <w:left w:val="nil"/>
              <w:bottom w:val="single" w:sz="8" w:space="0" w:color="auto"/>
              <w:right w:val="single" w:sz="4" w:space="0" w:color="auto"/>
            </w:tcBorders>
            <w:shd w:val="clear" w:color="000000" w:fill="C4BD97"/>
            <w:vAlign w:val="center"/>
          </w:tcPr>
          <w:p w:rsidR="00E25AC7" w:rsidRPr="001F274B" w:rsidRDefault="00E25AC7" w:rsidP="00140F0E">
            <w:pPr>
              <w:spacing w:after="0" w:line="240" w:lineRule="auto"/>
              <w:jc w:val="center"/>
              <w:rPr>
                <w:rFonts w:ascii="Arial" w:hAnsi="Arial" w:cs="Arial"/>
                <w:b/>
                <w:bCs/>
                <w:sz w:val="24"/>
                <w:szCs w:val="24"/>
                <w:lang w:eastAsia="pt-BR"/>
              </w:rPr>
            </w:pPr>
            <w:r w:rsidRPr="001F274B">
              <w:rPr>
                <w:rFonts w:ascii="Arial" w:hAnsi="Arial" w:cs="Arial"/>
                <w:b/>
                <w:bCs/>
                <w:sz w:val="24"/>
                <w:szCs w:val="24"/>
                <w:lang w:eastAsia="pt-BR"/>
              </w:rPr>
              <w:t>População</w:t>
            </w:r>
          </w:p>
        </w:tc>
        <w:tc>
          <w:tcPr>
            <w:tcW w:w="1580" w:type="dxa"/>
            <w:tcBorders>
              <w:top w:val="single" w:sz="8" w:space="0" w:color="auto"/>
              <w:left w:val="nil"/>
              <w:bottom w:val="single" w:sz="8" w:space="0" w:color="auto"/>
              <w:right w:val="single" w:sz="4" w:space="0" w:color="auto"/>
            </w:tcBorders>
            <w:shd w:val="clear" w:color="000000" w:fill="C4BD97"/>
            <w:vAlign w:val="center"/>
          </w:tcPr>
          <w:p w:rsidR="00E25AC7" w:rsidRPr="001F274B" w:rsidRDefault="00E25AC7" w:rsidP="00140F0E">
            <w:pPr>
              <w:spacing w:after="0" w:line="240" w:lineRule="auto"/>
              <w:jc w:val="center"/>
              <w:rPr>
                <w:rFonts w:ascii="Arial" w:hAnsi="Arial" w:cs="Arial"/>
                <w:b/>
                <w:bCs/>
                <w:sz w:val="24"/>
                <w:szCs w:val="24"/>
                <w:lang w:eastAsia="pt-BR"/>
              </w:rPr>
            </w:pPr>
            <w:r w:rsidRPr="001F274B">
              <w:rPr>
                <w:rFonts w:ascii="Arial" w:hAnsi="Arial" w:cs="Arial"/>
                <w:b/>
                <w:bCs/>
                <w:sz w:val="24"/>
                <w:szCs w:val="24"/>
                <w:lang w:eastAsia="pt-BR"/>
              </w:rPr>
              <w:t xml:space="preserve">PIB </w:t>
            </w:r>
            <w:r w:rsidRPr="00D2254D">
              <w:rPr>
                <w:rFonts w:ascii="Arial" w:hAnsi="Arial" w:cs="Arial"/>
                <w:b/>
                <w:bCs/>
                <w:i/>
                <w:sz w:val="24"/>
                <w:szCs w:val="24"/>
                <w:lang w:eastAsia="pt-BR"/>
              </w:rPr>
              <w:t>per capita</w:t>
            </w:r>
            <w:r w:rsidRPr="001F274B">
              <w:rPr>
                <w:rFonts w:ascii="Arial" w:hAnsi="Arial" w:cs="Arial"/>
                <w:b/>
                <w:bCs/>
                <w:sz w:val="24"/>
                <w:szCs w:val="24"/>
                <w:lang w:eastAsia="pt-BR"/>
              </w:rPr>
              <w:t xml:space="preserve"> ($ Mi)</w:t>
            </w:r>
          </w:p>
        </w:tc>
        <w:tc>
          <w:tcPr>
            <w:tcW w:w="960" w:type="dxa"/>
            <w:tcBorders>
              <w:top w:val="single" w:sz="8" w:space="0" w:color="auto"/>
              <w:left w:val="nil"/>
              <w:bottom w:val="single" w:sz="8" w:space="0" w:color="auto"/>
              <w:right w:val="single" w:sz="4" w:space="0" w:color="auto"/>
            </w:tcBorders>
            <w:shd w:val="clear" w:color="000000" w:fill="C4BD97"/>
            <w:vAlign w:val="center"/>
          </w:tcPr>
          <w:p w:rsidR="00E25AC7" w:rsidRPr="001F274B" w:rsidRDefault="00E25AC7" w:rsidP="00140F0E">
            <w:pPr>
              <w:spacing w:after="0" w:line="240" w:lineRule="auto"/>
              <w:jc w:val="center"/>
              <w:rPr>
                <w:rFonts w:ascii="Arial" w:hAnsi="Arial" w:cs="Arial"/>
                <w:b/>
                <w:bCs/>
                <w:sz w:val="24"/>
                <w:szCs w:val="24"/>
                <w:lang w:eastAsia="pt-BR"/>
              </w:rPr>
            </w:pPr>
            <w:proofErr w:type="spellStart"/>
            <w:r w:rsidRPr="001F274B">
              <w:rPr>
                <w:rFonts w:ascii="Arial" w:hAnsi="Arial" w:cs="Arial"/>
                <w:b/>
                <w:bCs/>
                <w:sz w:val="24"/>
                <w:szCs w:val="24"/>
                <w:lang w:eastAsia="pt-BR"/>
              </w:rPr>
              <w:t>Gini</w:t>
            </w:r>
            <w:proofErr w:type="spellEnd"/>
          </w:p>
        </w:tc>
        <w:tc>
          <w:tcPr>
            <w:tcW w:w="960" w:type="dxa"/>
            <w:tcBorders>
              <w:top w:val="single" w:sz="8" w:space="0" w:color="auto"/>
              <w:left w:val="nil"/>
              <w:bottom w:val="single" w:sz="8" w:space="0" w:color="auto"/>
              <w:right w:val="single" w:sz="8" w:space="0" w:color="auto"/>
            </w:tcBorders>
            <w:shd w:val="clear" w:color="000000" w:fill="C4BD97"/>
            <w:vAlign w:val="center"/>
          </w:tcPr>
          <w:p w:rsidR="00E25AC7" w:rsidRPr="001F274B" w:rsidRDefault="00E25AC7" w:rsidP="00140F0E">
            <w:pPr>
              <w:spacing w:after="0" w:line="240" w:lineRule="auto"/>
              <w:jc w:val="center"/>
              <w:rPr>
                <w:rFonts w:ascii="Arial" w:hAnsi="Arial" w:cs="Arial"/>
                <w:b/>
                <w:bCs/>
                <w:sz w:val="24"/>
                <w:szCs w:val="24"/>
                <w:lang w:eastAsia="pt-BR"/>
              </w:rPr>
            </w:pPr>
            <w:r w:rsidRPr="001F274B">
              <w:rPr>
                <w:rFonts w:ascii="Arial" w:hAnsi="Arial" w:cs="Arial"/>
                <w:b/>
                <w:bCs/>
                <w:sz w:val="24"/>
                <w:szCs w:val="24"/>
                <w:lang w:eastAsia="pt-BR"/>
              </w:rPr>
              <w:t>IDH</w:t>
            </w:r>
          </w:p>
        </w:tc>
      </w:tr>
      <w:tr w:rsidR="00E25AC7" w:rsidRPr="008313B9" w:rsidTr="00140F0E">
        <w:trPr>
          <w:trHeight w:val="624"/>
          <w:jc w:val="center"/>
        </w:trPr>
        <w:tc>
          <w:tcPr>
            <w:tcW w:w="1300" w:type="dxa"/>
            <w:tcBorders>
              <w:top w:val="single" w:sz="4" w:space="0" w:color="auto"/>
              <w:left w:val="single" w:sz="8" w:space="0" w:color="auto"/>
              <w:bottom w:val="single" w:sz="4" w:space="0" w:color="auto"/>
              <w:right w:val="single" w:sz="4" w:space="0" w:color="auto"/>
            </w:tcBorders>
            <w:shd w:val="clear" w:color="000000" w:fill="DDD9C4"/>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Balneário Camboriú</w:t>
            </w:r>
          </w:p>
        </w:tc>
        <w:tc>
          <w:tcPr>
            <w:tcW w:w="1360" w:type="dxa"/>
            <w:tcBorders>
              <w:top w:val="single" w:sz="4" w:space="0" w:color="auto"/>
              <w:left w:val="nil"/>
              <w:bottom w:val="single" w:sz="4" w:space="0" w:color="auto"/>
              <w:right w:val="single" w:sz="4" w:space="0" w:color="auto"/>
            </w:tcBorders>
            <w:shd w:val="clear" w:color="000000" w:fill="DDD9C4"/>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478.450,64</w:t>
            </w:r>
          </w:p>
        </w:tc>
        <w:tc>
          <w:tcPr>
            <w:tcW w:w="1160" w:type="dxa"/>
            <w:tcBorders>
              <w:top w:val="single" w:sz="4" w:space="0" w:color="auto"/>
              <w:left w:val="nil"/>
              <w:bottom w:val="single" w:sz="4" w:space="0" w:color="auto"/>
              <w:right w:val="single" w:sz="4" w:space="0" w:color="auto"/>
            </w:tcBorders>
            <w:shd w:val="clear" w:color="000000" w:fill="DDD9C4"/>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66.002</w:t>
            </w:r>
          </w:p>
        </w:tc>
        <w:tc>
          <w:tcPr>
            <w:tcW w:w="1580" w:type="dxa"/>
            <w:tcBorders>
              <w:top w:val="single" w:sz="4" w:space="0" w:color="auto"/>
              <w:left w:val="nil"/>
              <w:bottom w:val="single" w:sz="4" w:space="0" w:color="auto"/>
              <w:right w:val="single" w:sz="4" w:space="0" w:color="auto"/>
            </w:tcBorders>
            <w:shd w:val="clear" w:color="000000" w:fill="DDD9C4"/>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6.329</w:t>
            </w:r>
          </w:p>
        </w:tc>
        <w:tc>
          <w:tcPr>
            <w:tcW w:w="960" w:type="dxa"/>
            <w:tcBorders>
              <w:top w:val="single" w:sz="4" w:space="0" w:color="auto"/>
              <w:left w:val="nil"/>
              <w:bottom w:val="single" w:sz="4" w:space="0" w:color="auto"/>
              <w:right w:val="single" w:sz="4" w:space="0" w:color="auto"/>
            </w:tcBorders>
            <w:shd w:val="clear" w:color="000000" w:fill="DDD9C4"/>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0,59</w:t>
            </w:r>
          </w:p>
        </w:tc>
        <w:tc>
          <w:tcPr>
            <w:tcW w:w="960" w:type="dxa"/>
            <w:tcBorders>
              <w:top w:val="single" w:sz="4" w:space="0" w:color="auto"/>
              <w:left w:val="nil"/>
              <w:bottom w:val="single" w:sz="4" w:space="0" w:color="auto"/>
              <w:right w:val="single" w:sz="8" w:space="0" w:color="auto"/>
            </w:tcBorders>
            <w:shd w:val="clear" w:color="000000" w:fill="DDD9C4"/>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0,867</w:t>
            </w:r>
          </w:p>
        </w:tc>
      </w:tr>
      <w:tr w:rsidR="00E25AC7" w:rsidRPr="008313B9" w:rsidTr="00140F0E">
        <w:trPr>
          <w:trHeight w:val="312"/>
          <w:jc w:val="center"/>
        </w:trPr>
        <w:tc>
          <w:tcPr>
            <w:tcW w:w="1300" w:type="dxa"/>
            <w:tcBorders>
              <w:top w:val="nil"/>
              <w:left w:val="single" w:sz="8" w:space="0" w:color="auto"/>
              <w:bottom w:val="single" w:sz="4" w:space="0" w:color="auto"/>
              <w:right w:val="single" w:sz="4" w:space="0" w:color="auto"/>
            </w:tcBorders>
            <w:shd w:val="clear" w:color="000000" w:fill="DDD9C4"/>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Itapema</w:t>
            </w:r>
          </w:p>
        </w:tc>
        <w:tc>
          <w:tcPr>
            <w:tcW w:w="1360" w:type="dxa"/>
            <w:tcBorders>
              <w:top w:val="nil"/>
              <w:left w:val="nil"/>
              <w:bottom w:val="single" w:sz="4" w:space="0" w:color="auto"/>
              <w:right w:val="single" w:sz="4" w:space="0" w:color="auto"/>
            </w:tcBorders>
            <w:shd w:val="clear" w:color="000000" w:fill="DDD9C4"/>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148.218,10</w:t>
            </w:r>
          </w:p>
        </w:tc>
        <w:tc>
          <w:tcPr>
            <w:tcW w:w="1160" w:type="dxa"/>
            <w:tcBorders>
              <w:top w:val="nil"/>
              <w:left w:val="nil"/>
              <w:bottom w:val="single" w:sz="4" w:space="0" w:color="auto"/>
              <w:right w:val="single" w:sz="4" w:space="0" w:color="auto"/>
            </w:tcBorders>
            <w:shd w:val="clear" w:color="000000" w:fill="DDD9C4"/>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20.669</w:t>
            </w:r>
          </w:p>
        </w:tc>
        <w:tc>
          <w:tcPr>
            <w:tcW w:w="1580" w:type="dxa"/>
            <w:tcBorders>
              <w:top w:val="nil"/>
              <w:left w:val="nil"/>
              <w:bottom w:val="single" w:sz="4" w:space="0" w:color="auto"/>
              <w:right w:val="single" w:sz="4" w:space="0" w:color="auto"/>
            </w:tcBorders>
            <w:shd w:val="clear" w:color="000000" w:fill="DDD9C4"/>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5.540</w:t>
            </w:r>
          </w:p>
        </w:tc>
        <w:tc>
          <w:tcPr>
            <w:tcW w:w="960" w:type="dxa"/>
            <w:tcBorders>
              <w:top w:val="nil"/>
              <w:left w:val="nil"/>
              <w:bottom w:val="single" w:sz="4" w:space="0" w:color="auto"/>
              <w:right w:val="single" w:sz="4" w:space="0" w:color="auto"/>
            </w:tcBorders>
            <w:shd w:val="clear" w:color="000000" w:fill="DDD9C4"/>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0,68</w:t>
            </w:r>
          </w:p>
        </w:tc>
        <w:tc>
          <w:tcPr>
            <w:tcW w:w="960" w:type="dxa"/>
            <w:tcBorders>
              <w:top w:val="nil"/>
              <w:left w:val="nil"/>
              <w:bottom w:val="single" w:sz="4" w:space="0" w:color="auto"/>
              <w:right w:val="single" w:sz="8" w:space="0" w:color="auto"/>
            </w:tcBorders>
            <w:shd w:val="clear" w:color="000000" w:fill="DDD9C4"/>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0,835</w:t>
            </w:r>
          </w:p>
        </w:tc>
      </w:tr>
      <w:tr w:rsidR="00E25AC7" w:rsidRPr="008313B9" w:rsidTr="00140F0E">
        <w:trPr>
          <w:trHeight w:val="312"/>
          <w:jc w:val="center"/>
        </w:trPr>
        <w:tc>
          <w:tcPr>
            <w:tcW w:w="1300" w:type="dxa"/>
            <w:tcBorders>
              <w:top w:val="nil"/>
              <w:left w:val="single" w:sz="8" w:space="0" w:color="auto"/>
              <w:bottom w:val="single" w:sz="4" w:space="0" w:color="auto"/>
              <w:right w:val="single" w:sz="4" w:space="0" w:color="auto"/>
            </w:tcBorders>
            <w:shd w:val="clear" w:color="000000" w:fill="DDD9C4"/>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Itajaí</w:t>
            </w:r>
          </w:p>
        </w:tc>
        <w:tc>
          <w:tcPr>
            <w:tcW w:w="1360" w:type="dxa"/>
            <w:tcBorders>
              <w:top w:val="nil"/>
              <w:left w:val="nil"/>
              <w:bottom w:val="single" w:sz="4" w:space="0" w:color="auto"/>
              <w:right w:val="single" w:sz="4" w:space="0" w:color="auto"/>
            </w:tcBorders>
            <w:shd w:val="clear" w:color="000000" w:fill="DDD9C4"/>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1.712.086,87</w:t>
            </w:r>
          </w:p>
        </w:tc>
        <w:tc>
          <w:tcPr>
            <w:tcW w:w="1160" w:type="dxa"/>
            <w:tcBorders>
              <w:top w:val="nil"/>
              <w:left w:val="nil"/>
              <w:bottom w:val="single" w:sz="4" w:space="0" w:color="auto"/>
              <w:right w:val="single" w:sz="4" w:space="0" w:color="auto"/>
            </w:tcBorders>
            <w:shd w:val="clear" w:color="000000" w:fill="DDD9C4"/>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148.430</w:t>
            </w:r>
          </w:p>
        </w:tc>
        <w:tc>
          <w:tcPr>
            <w:tcW w:w="1580" w:type="dxa"/>
            <w:tcBorders>
              <w:top w:val="nil"/>
              <w:left w:val="nil"/>
              <w:bottom w:val="single" w:sz="4" w:space="0" w:color="auto"/>
              <w:right w:val="single" w:sz="4" w:space="0" w:color="auto"/>
            </w:tcBorders>
            <w:shd w:val="clear" w:color="000000" w:fill="DDD9C4"/>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11.468</w:t>
            </w:r>
          </w:p>
        </w:tc>
        <w:tc>
          <w:tcPr>
            <w:tcW w:w="960" w:type="dxa"/>
            <w:tcBorders>
              <w:top w:val="nil"/>
              <w:left w:val="nil"/>
              <w:bottom w:val="single" w:sz="4" w:space="0" w:color="auto"/>
              <w:right w:val="single" w:sz="4" w:space="0" w:color="auto"/>
            </w:tcBorders>
            <w:shd w:val="clear" w:color="000000" w:fill="DDD9C4"/>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0,55</w:t>
            </w:r>
          </w:p>
        </w:tc>
        <w:tc>
          <w:tcPr>
            <w:tcW w:w="960" w:type="dxa"/>
            <w:tcBorders>
              <w:top w:val="nil"/>
              <w:left w:val="nil"/>
              <w:bottom w:val="single" w:sz="4" w:space="0" w:color="auto"/>
              <w:right w:val="single" w:sz="8" w:space="0" w:color="auto"/>
            </w:tcBorders>
            <w:shd w:val="clear" w:color="000000" w:fill="DDD9C4"/>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0,825</w:t>
            </w:r>
          </w:p>
        </w:tc>
      </w:tr>
      <w:tr w:rsidR="00E25AC7" w:rsidRPr="008313B9" w:rsidTr="00140F0E">
        <w:trPr>
          <w:trHeight w:val="312"/>
          <w:jc w:val="center"/>
        </w:trPr>
        <w:tc>
          <w:tcPr>
            <w:tcW w:w="1300" w:type="dxa"/>
            <w:tcBorders>
              <w:top w:val="nil"/>
              <w:left w:val="single" w:sz="8" w:space="0" w:color="auto"/>
              <w:bottom w:val="single" w:sz="4" w:space="0" w:color="auto"/>
              <w:right w:val="single" w:sz="4" w:space="0" w:color="auto"/>
            </w:tcBorders>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Bombinhas</w:t>
            </w:r>
          </w:p>
        </w:tc>
        <w:tc>
          <w:tcPr>
            <w:tcW w:w="1360" w:type="dxa"/>
            <w:tcBorders>
              <w:top w:val="nil"/>
              <w:left w:val="nil"/>
              <w:bottom w:val="single" w:sz="4" w:space="0" w:color="auto"/>
              <w:right w:val="single" w:sz="4" w:space="0" w:color="auto"/>
            </w:tcBorders>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48.555,37</w:t>
            </w:r>
          </w:p>
        </w:tc>
        <w:tc>
          <w:tcPr>
            <w:tcW w:w="1160" w:type="dxa"/>
            <w:tcBorders>
              <w:top w:val="nil"/>
              <w:left w:val="nil"/>
              <w:bottom w:val="single" w:sz="4" w:space="0" w:color="auto"/>
              <w:right w:val="single" w:sz="4" w:space="0" w:color="auto"/>
            </w:tcBorders>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6.754</w:t>
            </w:r>
          </w:p>
        </w:tc>
        <w:tc>
          <w:tcPr>
            <w:tcW w:w="1580" w:type="dxa"/>
            <w:tcBorders>
              <w:top w:val="nil"/>
              <w:left w:val="nil"/>
              <w:bottom w:val="single" w:sz="4" w:space="0" w:color="auto"/>
              <w:right w:val="single" w:sz="4" w:space="0" w:color="auto"/>
            </w:tcBorders>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5.411</w:t>
            </w:r>
          </w:p>
        </w:tc>
        <w:tc>
          <w:tcPr>
            <w:tcW w:w="960" w:type="dxa"/>
            <w:tcBorders>
              <w:top w:val="nil"/>
              <w:left w:val="nil"/>
              <w:bottom w:val="single" w:sz="4" w:space="0" w:color="auto"/>
              <w:right w:val="single" w:sz="4" w:space="0" w:color="auto"/>
            </w:tcBorders>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0,54</w:t>
            </w:r>
          </w:p>
        </w:tc>
        <w:tc>
          <w:tcPr>
            <w:tcW w:w="960" w:type="dxa"/>
            <w:tcBorders>
              <w:top w:val="nil"/>
              <w:left w:val="nil"/>
              <w:bottom w:val="single" w:sz="4" w:space="0" w:color="auto"/>
              <w:right w:val="single" w:sz="8" w:space="0" w:color="auto"/>
            </w:tcBorders>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0,809</w:t>
            </w:r>
          </w:p>
        </w:tc>
      </w:tr>
      <w:tr w:rsidR="00E25AC7" w:rsidRPr="008313B9" w:rsidTr="00140F0E">
        <w:trPr>
          <w:trHeight w:val="312"/>
          <w:jc w:val="center"/>
        </w:trPr>
        <w:tc>
          <w:tcPr>
            <w:tcW w:w="1300" w:type="dxa"/>
            <w:tcBorders>
              <w:top w:val="nil"/>
              <w:left w:val="single" w:sz="8" w:space="0" w:color="auto"/>
              <w:bottom w:val="single" w:sz="4" w:space="0" w:color="auto"/>
              <w:right w:val="single" w:sz="4" w:space="0" w:color="auto"/>
            </w:tcBorders>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Porto Belo</w:t>
            </w:r>
          </w:p>
        </w:tc>
        <w:tc>
          <w:tcPr>
            <w:tcW w:w="1360" w:type="dxa"/>
            <w:tcBorders>
              <w:top w:val="nil"/>
              <w:left w:val="nil"/>
              <w:bottom w:val="single" w:sz="4" w:space="0" w:color="auto"/>
              <w:right w:val="single" w:sz="4" w:space="0" w:color="auto"/>
            </w:tcBorders>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54.574,21</w:t>
            </w:r>
          </w:p>
        </w:tc>
        <w:tc>
          <w:tcPr>
            <w:tcW w:w="1160" w:type="dxa"/>
            <w:tcBorders>
              <w:top w:val="nil"/>
              <w:left w:val="nil"/>
              <w:bottom w:val="single" w:sz="4" w:space="0" w:color="auto"/>
              <w:right w:val="single" w:sz="4" w:space="0" w:color="auto"/>
            </w:tcBorders>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8.741</w:t>
            </w:r>
          </w:p>
        </w:tc>
        <w:tc>
          <w:tcPr>
            <w:tcW w:w="1580" w:type="dxa"/>
            <w:tcBorders>
              <w:top w:val="nil"/>
              <w:left w:val="nil"/>
              <w:bottom w:val="single" w:sz="4" w:space="0" w:color="auto"/>
              <w:right w:val="single" w:sz="4" w:space="0" w:color="auto"/>
            </w:tcBorders>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4.985</w:t>
            </w:r>
          </w:p>
        </w:tc>
        <w:tc>
          <w:tcPr>
            <w:tcW w:w="960" w:type="dxa"/>
            <w:tcBorders>
              <w:top w:val="nil"/>
              <w:left w:val="nil"/>
              <w:bottom w:val="single" w:sz="4" w:space="0" w:color="auto"/>
              <w:right w:val="single" w:sz="4" w:space="0" w:color="auto"/>
            </w:tcBorders>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0,53</w:t>
            </w:r>
          </w:p>
        </w:tc>
        <w:tc>
          <w:tcPr>
            <w:tcW w:w="960" w:type="dxa"/>
            <w:tcBorders>
              <w:top w:val="nil"/>
              <w:left w:val="nil"/>
              <w:bottom w:val="single" w:sz="4" w:space="0" w:color="auto"/>
              <w:right w:val="single" w:sz="8" w:space="0" w:color="auto"/>
            </w:tcBorders>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0,803</w:t>
            </w:r>
          </w:p>
        </w:tc>
      </w:tr>
      <w:tr w:rsidR="00E25AC7" w:rsidRPr="008313B9" w:rsidTr="00140F0E">
        <w:trPr>
          <w:trHeight w:val="624"/>
          <w:jc w:val="center"/>
        </w:trPr>
        <w:tc>
          <w:tcPr>
            <w:tcW w:w="1300" w:type="dxa"/>
            <w:tcBorders>
              <w:top w:val="nil"/>
              <w:left w:val="single" w:sz="8" w:space="0" w:color="auto"/>
              <w:bottom w:val="single" w:sz="4" w:space="0" w:color="auto"/>
              <w:right w:val="single" w:sz="4" w:space="0" w:color="auto"/>
            </w:tcBorders>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Balneário Piçarras</w:t>
            </w:r>
          </w:p>
        </w:tc>
        <w:tc>
          <w:tcPr>
            <w:tcW w:w="1360" w:type="dxa"/>
            <w:tcBorders>
              <w:top w:val="nil"/>
              <w:left w:val="nil"/>
              <w:bottom w:val="single" w:sz="4" w:space="0" w:color="auto"/>
              <w:right w:val="single" w:sz="4" w:space="0" w:color="auto"/>
            </w:tcBorders>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52.995,04</w:t>
            </w:r>
          </w:p>
        </w:tc>
        <w:tc>
          <w:tcPr>
            <w:tcW w:w="1160" w:type="dxa"/>
            <w:tcBorders>
              <w:top w:val="nil"/>
              <w:left w:val="nil"/>
              <w:bottom w:val="single" w:sz="4" w:space="0" w:color="auto"/>
              <w:right w:val="single" w:sz="4" w:space="0" w:color="auto"/>
            </w:tcBorders>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10.720</w:t>
            </w:r>
          </w:p>
        </w:tc>
        <w:tc>
          <w:tcPr>
            <w:tcW w:w="1580" w:type="dxa"/>
            <w:tcBorders>
              <w:top w:val="nil"/>
              <w:left w:val="nil"/>
              <w:bottom w:val="single" w:sz="4" w:space="0" w:color="auto"/>
              <w:right w:val="single" w:sz="4" w:space="0" w:color="auto"/>
            </w:tcBorders>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4.773</w:t>
            </w:r>
          </w:p>
        </w:tc>
        <w:tc>
          <w:tcPr>
            <w:tcW w:w="960" w:type="dxa"/>
            <w:tcBorders>
              <w:top w:val="nil"/>
              <w:left w:val="nil"/>
              <w:bottom w:val="single" w:sz="4" w:space="0" w:color="auto"/>
              <w:right w:val="single" w:sz="4" w:space="0" w:color="auto"/>
            </w:tcBorders>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0,58</w:t>
            </w:r>
          </w:p>
        </w:tc>
        <w:tc>
          <w:tcPr>
            <w:tcW w:w="960" w:type="dxa"/>
            <w:tcBorders>
              <w:top w:val="nil"/>
              <w:left w:val="nil"/>
              <w:bottom w:val="single" w:sz="4" w:space="0" w:color="auto"/>
              <w:right w:val="single" w:sz="8" w:space="0" w:color="auto"/>
            </w:tcBorders>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0,799</w:t>
            </w:r>
          </w:p>
        </w:tc>
      </w:tr>
      <w:tr w:rsidR="00E25AC7" w:rsidRPr="008313B9" w:rsidTr="00140F0E">
        <w:trPr>
          <w:trHeight w:val="312"/>
          <w:jc w:val="center"/>
        </w:trPr>
        <w:tc>
          <w:tcPr>
            <w:tcW w:w="1300" w:type="dxa"/>
            <w:tcBorders>
              <w:top w:val="nil"/>
              <w:left w:val="single" w:sz="8" w:space="0" w:color="auto"/>
              <w:bottom w:val="single" w:sz="4" w:space="0" w:color="auto"/>
              <w:right w:val="single" w:sz="4" w:space="0" w:color="auto"/>
            </w:tcBorders>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Penha</w:t>
            </w:r>
          </w:p>
        </w:tc>
        <w:tc>
          <w:tcPr>
            <w:tcW w:w="1360" w:type="dxa"/>
            <w:tcBorders>
              <w:top w:val="nil"/>
              <w:left w:val="nil"/>
              <w:bottom w:val="single" w:sz="4" w:space="0" w:color="auto"/>
              <w:right w:val="single" w:sz="4" w:space="0" w:color="auto"/>
            </w:tcBorders>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76.124,67</w:t>
            </w:r>
          </w:p>
        </w:tc>
        <w:tc>
          <w:tcPr>
            <w:tcW w:w="1160" w:type="dxa"/>
            <w:tcBorders>
              <w:top w:val="nil"/>
              <w:left w:val="nil"/>
              <w:bottom w:val="single" w:sz="4" w:space="0" w:color="auto"/>
              <w:right w:val="single" w:sz="4" w:space="0" w:color="auto"/>
            </w:tcBorders>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17.551</w:t>
            </w:r>
          </w:p>
        </w:tc>
        <w:tc>
          <w:tcPr>
            <w:tcW w:w="1580" w:type="dxa"/>
            <w:tcBorders>
              <w:top w:val="nil"/>
              <w:left w:val="nil"/>
              <w:bottom w:val="single" w:sz="4" w:space="0" w:color="auto"/>
              <w:right w:val="single" w:sz="4" w:space="0" w:color="auto"/>
            </w:tcBorders>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4.235</w:t>
            </w:r>
          </w:p>
        </w:tc>
        <w:tc>
          <w:tcPr>
            <w:tcW w:w="960" w:type="dxa"/>
            <w:tcBorders>
              <w:top w:val="nil"/>
              <w:left w:val="nil"/>
              <w:bottom w:val="single" w:sz="4" w:space="0" w:color="auto"/>
              <w:right w:val="single" w:sz="4" w:space="0" w:color="auto"/>
            </w:tcBorders>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0,47</w:t>
            </w:r>
          </w:p>
        </w:tc>
        <w:tc>
          <w:tcPr>
            <w:tcW w:w="960" w:type="dxa"/>
            <w:tcBorders>
              <w:top w:val="nil"/>
              <w:left w:val="nil"/>
              <w:bottom w:val="single" w:sz="4" w:space="0" w:color="auto"/>
              <w:right w:val="single" w:sz="8" w:space="0" w:color="auto"/>
            </w:tcBorders>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0,791</w:t>
            </w:r>
          </w:p>
        </w:tc>
      </w:tr>
      <w:tr w:rsidR="00E25AC7" w:rsidRPr="008313B9" w:rsidTr="00140F0E">
        <w:trPr>
          <w:trHeight w:val="312"/>
          <w:jc w:val="center"/>
        </w:trPr>
        <w:tc>
          <w:tcPr>
            <w:tcW w:w="1300" w:type="dxa"/>
            <w:tcBorders>
              <w:top w:val="nil"/>
              <w:left w:val="single" w:sz="8" w:space="0" w:color="auto"/>
              <w:bottom w:val="single" w:sz="4" w:space="0" w:color="auto"/>
              <w:right w:val="single" w:sz="4" w:space="0" w:color="auto"/>
            </w:tcBorders>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Navegantes</w:t>
            </w:r>
          </w:p>
        </w:tc>
        <w:tc>
          <w:tcPr>
            <w:tcW w:w="1360" w:type="dxa"/>
            <w:tcBorders>
              <w:top w:val="nil"/>
              <w:left w:val="nil"/>
              <w:bottom w:val="single" w:sz="4" w:space="0" w:color="auto"/>
              <w:right w:val="single" w:sz="4" w:space="0" w:color="auto"/>
            </w:tcBorders>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201.888,49</w:t>
            </w:r>
          </w:p>
        </w:tc>
        <w:tc>
          <w:tcPr>
            <w:tcW w:w="1160" w:type="dxa"/>
            <w:tcBorders>
              <w:top w:val="nil"/>
              <w:left w:val="nil"/>
              <w:bottom w:val="single" w:sz="4" w:space="0" w:color="auto"/>
              <w:right w:val="single" w:sz="4" w:space="0" w:color="auto"/>
            </w:tcBorders>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36.709</w:t>
            </w:r>
          </w:p>
        </w:tc>
        <w:tc>
          <w:tcPr>
            <w:tcW w:w="1580" w:type="dxa"/>
            <w:tcBorders>
              <w:top w:val="nil"/>
              <w:left w:val="nil"/>
              <w:bottom w:val="single" w:sz="4" w:space="0" w:color="auto"/>
              <w:right w:val="single" w:sz="4" w:space="0" w:color="auto"/>
            </w:tcBorders>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5.006</w:t>
            </w:r>
          </w:p>
        </w:tc>
        <w:tc>
          <w:tcPr>
            <w:tcW w:w="960" w:type="dxa"/>
            <w:tcBorders>
              <w:top w:val="nil"/>
              <w:left w:val="nil"/>
              <w:bottom w:val="single" w:sz="4" w:space="0" w:color="auto"/>
              <w:right w:val="single" w:sz="4" w:space="0" w:color="auto"/>
            </w:tcBorders>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0,48</w:t>
            </w:r>
          </w:p>
        </w:tc>
        <w:tc>
          <w:tcPr>
            <w:tcW w:w="960" w:type="dxa"/>
            <w:tcBorders>
              <w:top w:val="nil"/>
              <w:left w:val="nil"/>
              <w:bottom w:val="single" w:sz="4" w:space="0" w:color="auto"/>
              <w:right w:val="single" w:sz="8" w:space="0" w:color="auto"/>
            </w:tcBorders>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0,774</w:t>
            </w:r>
          </w:p>
        </w:tc>
      </w:tr>
      <w:tr w:rsidR="00E25AC7" w:rsidRPr="008313B9" w:rsidTr="00140F0E">
        <w:trPr>
          <w:trHeight w:val="324"/>
          <w:jc w:val="center"/>
        </w:trPr>
        <w:tc>
          <w:tcPr>
            <w:tcW w:w="1300" w:type="dxa"/>
            <w:tcBorders>
              <w:top w:val="nil"/>
              <w:left w:val="single" w:sz="8" w:space="0" w:color="auto"/>
              <w:bottom w:val="single" w:sz="8" w:space="0" w:color="auto"/>
              <w:right w:val="single" w:sz="4" w:space="0" w:color="auto"/>
            </w:tcBorders>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Camboriú</w:t>
            </w:r>
          </w:p>
        </w:tc>
        <w:tc>
          <w:tcPr>
            <w:tcW w:w="1360" w:type="dxa"/>
            <w:tcBorders>
              <w:top w:val="nil"/>
              <w:left w:val="nil"/>
              <w:bottom w:val="single" w:sz="8" w:space="0" w:color="auto"/>
              <w:right w:val="single" w:sz="4" w:space="0" w:color="auto"/>
            </w:tcBorders>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115.538,43</w:t>
            </w:r>
          </w:p>
        </w:tc>
        <w:tc>
          <w:tcPr>
            <w:tcW w:w="1160" w:type="dxa"/>
            <w:tcBorders>
              <w:top w:val="nil"/>
              <w:left w:val="nil"/>
              <w:bottom w:val="single" w:sz="8" w:space="0" w:color="auto"/>
              <w:right w:val="single" w:sz="4" w:space="0" w:color="auto"/>
            </w:tcBorders>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38.627</w:t>
            </w:r>
          </w:p>
        </w:tc>
        <w:tc>
          <w:tcPr>
            <w:tcW w:w="1580" w:type="dxa"/>
            <w:tcBorders>
              <w:top w:val="nil"/>
              <w:left w:val="nil"/>
              <w:bottom w:val="single" w:sz="8" w:space="0" w:color="auto"/>
              <w:right w:val="single" w:sz="4" w:space="0" w:color="auto"/>
            </w:tcBorders>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2.721</w:t>
            </w:r>
          </w:p>
        </w:tc>
        <w:tc>
          <w:tcPr>
            <w:tcW w:w="960" w:type="dxa"/>
            <w:tcBorders>
              <w:top w:val="nil"/>
              <w:left w:val="nil"/>
              <w:bottom w:val="single" w:sz="8" w:space="0" w:color="auto"/>
              <w:right w:val="single" w:sz="4" w:space="0" w:color="auto"/>
            </w:tcBorders>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0,46</w:t>
            </w:r>
          </w:p>
        </w:tc>
        <w:tc>
          <w:tcPr>
            <w:tcW w:w="960" w:type="dxa"/>
            <w:tcBorders>
              <w:top w:val="nil"/>
              <w:left w:val="nil"/>
              <w:bottom w:val="single" w:sz="8" w:space="0" w:color="auto"/>
              <w:right w:val="single" w:sz="8" w:space="0" w:color="auto"/>
            </w:tcBorders>
            <w:vAlign w:val="center"/>
          </w:tcPr>
          <w:p w:rsidR="00E25AC7" w:rsidRPr="001F274B" w:rsidRDefault="00E25AC7" w:rsidP="00140F0E">
            <w:pPr>
              <w:spacing w:after="0" w:line="240" w:lineRule="auto"/>
              <w:jc w:val="center"/>
              <w:rPr>
                <w:rFonts w:ascii="Arial" w:hAnsi="Arial" w:cs="Arial"/>
                <w:sz w:val="24"/>
                <w:szCs w:val="24"/>
                <w:lang w:eastAsia="pt-BR"/>
              </w:rPr>
            </w:pPr>
            <w:r w:rsidRPr="001F274B">
              <w:rPr>
                <w:rFonts w:ascii="Arial" w:hAnsi="Arial" w:cs="Arial"/>
                <w:sz w:val="24"/>
                <w:szCs w:val="24"/>
                <w:lang w:eastAsia="pt-BR"/>
              </w:rPr>
              <w:t>0,764</w:t>
            </w:r>
          </w:p>
        </w:tc>
      </w:tr>
    </w:tbl>
    <w:p w:rsidR="00E25AC7" w:rsidRPr="00D677DF" w:rsidRDefault="00E25AC7" w:rsidP="00DE4A7C">
      <w:pPr>
        <w:spacing w:after="0" w:line="360" w:lineRule="auto"/>
        <w:jc w:val="center"/>
        <w:rPr>
          <w:rFonts w:ascii="Arial" w:hAnsi="Arial" w:cs="Arial"/>
          <w:sz w:val="20"/>
          <w:szCs w:val="20"/>
          <w:lang w:eastAsia="pt-BR"/>
        </w:rPr>
      </w:pPr>
      <w:r w:rsidRPr="00D677DF">
        <w:rPr>
          <w:rFonts w:ascii="Arial" w:hAnsi="Arial" w:cs="Arial"/>
          <w:sz w:val="20"/>
          <w:szCs w:val="20"/>
          <w:lang w:eastAsia="pt-BR"/>
        </w:rPr>
        <w:t>Fonte: SILVA RAMOS ET AL (2012) e TCE/SC (2012).</w:t>
      </w:r>
    </w:p>
    <w:p w:rsidR="00E25AC7" w:rsidRDefault="00E25AC7" w:rsidP="003A290E">
      <w:pPr>
        <w:spacing w:after="0" w:line="360" w:lineRule="auto"/>
        <w:ind w:firstLine="720"/>
        <w:jc w:val="both"/>
        <w:rPr>
          <w:rFonts w:ascii="Arial" w:hAnsi="Arial" w:cs="Arial"/>
          <w:sz w:val="24"/>
          <w:szCs w:val="24"/>
          <w:lang w:eastAsia="pt-BR"/>
        </w:rPr>
      </w:pPr>
    </w:p>
    <w:p w:rsidR="00E25AC7" w:rsidRDefault="00E25AC7" w:rsidP="003A290E">
      <w:pPr>
        <w:spacing w:after="0" w:line="360" w:lineRule="auto"/>
        <w:ind w:firstLine="720"/>
        <w:jc w:val="both"/>
        <w:rPr>
          <w:rFonts w:ascii="Arial" w:hAnsi="Arial" w:cs="Arial"/>
          <w:bCs/>
          <w:sz w:val="24"/>
          <w:szCs w:val="24"/>
        </w:rPr>
      </w:pPr>
      <w:r w:rsidRPr="001F274B">
        <w:rPr>
          <w:rFonts w:ascii="Arial" w:hAnsi="Arial" w:cs="Arial"/>
          <w:sz w:val="24"/>
          <w:szCs w:val="24"/>
          <w:lang w:eastAsia="pt-BR"/>
        </w:rPr>
        <w:t xml:space="preserve">Por este critério, os municípios da SDR de Itajaí selecionados foram: Balneário </w:t>
      </w:r>
      <w:proofErr w:type="spellStart"/>
      <w:r w:rsidRPr="001F274B">
        <w:rPr>
          <w:rFonts w:ascii="Arial" w:hAnsi="Arial" w:cs="Arial"/>
          <w:sz w:val="24"/>
          <w:szCs w:val="24"/>
          <w:lang w:eastAsia="pt-BR"/>
        </w:rPr>
        <w:t>Camboriu</w:t>
      </w:r>
      <w:proofErr w:type="spellEnd"/>
      <w:r w:rsidRPr="001F274B">
        <w:rPr>
          <w:rFonts w:ascii="Arial" w:hAnsi="Arial" w:cs="Arial"/>
          <w:sz w:val="24"/>
          <w:szCs w:val="24"/>
          <w:lang w:eastAsia="pt-BR"/>
        </w:rPr>
        <w:t xml:space="preserve"> (0,867), Itapema (0,83</w:t>
      </w:r>
      <w:r>
        <w:rPr>
          <w:rFonts w:ascii="Arial" w:hAnsi="Arial" w:cs="Arial"/>
          <w:sz w:val="24"/>
          <w:szCs w:val="24"/>
          <w:lang w:eastAsia="pt-BR"/>
        </w:rPr>
        <w:t>5</w:t>
      </w:r>
      <w:r w:rsidRPr="001F274B">
        <w:rPr>
          <w:rFonts w:ascii="Arial" w:hAnsi="Arial" w:cs="Arial"/>
          <w:sz w:val="24"/>
          <w:szCs w:val="24"/>
          <w:lang w:eastAsia="pt-BR"/>
        </w:rPr>
        <w:t xml:space="preserve">) e Itajaí (0,825). </w:t>
      </w:r>
      <w:r>
        <w:rPr>
          <w:rFonts w:ascii="Arial" w:hAnsi="Arial" w:cs="Arial"/>
          <w:sz w:val="24"/>
          <w:szCs w:val="24"/>
          <w:lang w:eastAsia="pt-BR"/>
        </w:rPr>
        <w:t xml:space="preserve">Salienta-se que </w:t>
      </w:r>
      <w:r w:rsidRPr="001F274B">
        <w:rPr>
          <w:rFonts w:ascii="Arial" w:hAnsi="Arial" w:cs="Arial"/>
          <w:sz w:val="24"/>
          <w:szCs w:val="24"/>
          <w:lang w:eastAsia="pt-BR"/>
        </w:rPr>
        <w:t>o IDH utiliza como medida</w:t>
      </w:r>
      <w:r>
        <w:rPr>
          <w:rFonts w:ascii="Arial" w:hAnsi="Arial" w:cs="Arial"/>
          <w:sz w:val="24"/>
          <w:szCs w:val="24"/>
          <w:lang w:eastAsia="pt-BR"/>
        </w:rPr>
        <w:t xml:space="preserve"> a média aritmética das </w:t>
      </w:r>
      <w:r w:rsidRPr="001F274B">
        <w:rPr>
          <w:rFonts w:ascii="Arial" w:hAnsi="Arial" w:cs="Arial"/>
          <w:sz w:val="24"/>
          <w:szCs w:val="24"/>
          <w:lang w:eastAsia="pt-BR"/>
        </w:rPr>
        <w:t>três dimensões</w:t>
      </w:r>
      <w:r>
        <w:rPr>
          <w:rFonts w:ascii="Arial" w:hAnsi="Arial" w:cs="Arial"/>
          <w:sz w:val="24"/>
          <w:szCs w:val="24"/>
          <w:lang w:eastAsia="pt-BR"/>
        </w:rPr>
        <w:t>:</w:t>
      </w:r>
      <w:r w:rsidRPr="001F274B">
        <w:rPr>
          <w:rFonts w:ascii="Arial" w:hAnsi="Arial" w:cs="Arial"/>
          <w:sz w:val="24"/>
          <w:szCs w:val="24"/>
          <w:lang w:eastAsia="pt-BR"/>
        </w:rPr>
        <w:t xml:space="preserve"> saúde, educação e rendimento (RDH, 2012, p. 15). </w:t>
      </w:r>
      <w:r>
        <w:rPr>
          <w:rFonts w:ascii="Arial" w:hAnsi="Arial" w:cs="Arial"/>
          <w:sz w:val="24"/>
          <w:szCs w:val="24"/>
          <w:lang w:eastAsia="pt-BR"/>
        </w:rPr>
        <w:t xml:space="preserve">Acrescenta-se que para os gastos </w:t>
      </w:r>
      <w:r w:rsidRPr="0056177D">
        <w:rPr>
          <w:rFonts w:ascii="Arial" w:hAnsi="Arial" w:cs="Arial"/>
          <w:i/>
          <w:sz w:val="24"/>
          <w:szCs w:val="24"/>
          <w:lang w:eastAsia="pt-BR"/>
        </w:rPr>
        <w:t>per capitas</w:t>
      </w:r>
      <w:r>
        <w:rPr>
          <w:rFonts w:ascii="Arial" w:hAnsi="Arial" w:cs="Arial"/>
          <w:sz w:val="24"/>
          <w:szCs w:val="24"/>
          <w:lang w:eastAsia="pt-BR"/>
        </w:rPr>
        <w:t xml:space="preserve"> foram utilizados dados da população de cada municípios para os respectivos anos pesquisados, sendo que para os anos de 2007 e 2010 utilizou-se dados censitários. Para os demais anos foram dados da contagem populacional. Ainda, os</w:t>
      </w:r>
      <w:r w:rsidRPr="001F274B">
        <w:rPr>
          <w:rFonts w:ascii="Arial" w:hAnsi="Arial" w:cs="Arial"/>
          <w:sz w:val="24"/>
          <w:szCs w:val="24"/>
          <w:lang w:eastAsia="pt-BR"/>
        </w:rPr>
        <w:t xml:space="preserve"> municípios de Balneário </w:t>
      </w:r>
      <w:proofErr w:type="spellStart"/>
      <w:r w:rsidRPr="001F274B">
        <w:rPr>
          <w:rFonts w:ascii="Arial" w:hAnsi="Arial" w:cs="Arial"/>
          <w:sz w:val="24"/>
          <w:szCs w:val="24"/>
          <w:lang w:eastAsia="pt-BR"/>
        </w:rPr>
        <w:t>Camboriu</w:t>
      </w:r>
      <w:proofErr w:type="spellEnd"/>
      <w:r w:rsidRPr="001F274B">
        <w:rPr>
          <w:rFonts w:ascii="Arial" w:hAnsi="Arial" w:cs="Arial"/>
          <w:sz w:val="24"/>
          <w:szCs w:val="24"/>
          <w:lang w:eastAsia="pt-BR"/>
        </w:rPr>
        <w:t xml:space="preserve">, Itapema e Itajaí estão situados no litoral catarinense e tem </w:t>
      </w:r>
      <w:r>
        <w:rPr>
          <w:rFonts w:ascii="Arial" w:hAnsi="Arial" w:cs="Arial"/>
          <w:sz w:val="24"/>
          <w:szCs w:val="24"/>
          <w:lang w:eastAsia="pt-BR"/>
        </w:rPr>
        <w:t xml:space="preserve">atualmente uma </w:t>
      </w:r>
      <w:r w:rsidRPr="001F274B">
        <w:rPr>
          <w:rFonts w:ascii="Arial" w:hAnsi="Arial" w:cs="Arial"/>
          <w:sz w:val="24"/>
          <w:szCs w:val="24"/>
          <w:lang w:eastAsia="pt-BR"/>
        </w:rPr>
        <w:t xml:space="preserve">população respectiva de </w:t>
      </w:r>
      <w:r w:rsidRPr="001F274B">
        <w:rPr>
          <w:rFonts w:ascii="Arial" w:hAnsi="Arial" w:cs="Arial"/>
          <w:bCs/>
          <w:sz w:val="24"/>
          <w:szCs w:val="24"/>
        </w:rPr>
        <w:t xml:space="preserve">110.747, 47.327 e </w:t>
      </w:r>
      <w:r w:rsidRPr="001F274B">
        <w:rPr>
          <w:rFonts w:ascii="Arial" w:hAnsi="Arial" w:cs="Arial"/>
          <w:sz w:val="24"/>
          <w:szCs w:val="24"/>
        </w:rPr>
        <w:t xml:space="preserve">186.127 </w:t>
      </w:r>
      <w:r w:rsidRPr="001F274B">
        <w:rPr>
          <w:rFonts w:ascii="Arial" w:hAnsi="Arial" w:cs="Arial"/>
          <w:bCs/>
          <w:sz w:val="24"/>
          <w:szCs w:val="24"/>
        </w:rPr>
        <w:t>habitantes, de acordo com IBGE (</w:t>
      </w:r>
      <w:r>
        <w:rPr>
          <w:rFonts w:ascii="Arial" w:hAnsi="Arial" w:cs="Arial"/>
          <w:bCs/>
          <w:sz w:val="24"/>
          <w:szCs w:val="24"/>
        </w:rPr>
        <w:t>2012</w:t>
      </w:r>
      <w:r w:rsidRPr="001F274B">
        <w:rPr>
          <w:rFonts w:ascii="Arial" w:hAnsi="Arial" w:cs="Arial"/>
          <w:bCs/>
          <w:sz w:val="24"/>
          <w:szCs w:val="24"/>
        </w:rPr>
        <w:t>).</w:t>
      </w:r>
      <w:r w:rsidRPr="006C3412">
        <w:rPr>
          <w:rFonts w:ascii="Arial" w:hAnsi="Arial" w:cs="Arial"/>
          <w:bCs/>
          <w:vanish/>
          <w:sz w:val="24"/>
          <w:szCs w:val="24"/>
        </w:rPr>
        <w:t>o com (IBe conta com uma populçao de licaçs na seço em vista que os Tribunais de Contas em cada uma das inst</w:t>
      </w:r>
      <w:r w:rsidRPr="006C3412">
        <w:rPr>
          <w:rFonts w:ascii="Arial" w:hAnsi="Arial" w:cs="Arial"/>
          <w:bCs/>
          <w:vanish/>
          <w:sz w:val="24"/>
          <w:szCs w:val="24"/>
        </w:rPr>
        <w:pgNum/>
      </w:r>
      <w:r w:rsidRPr="006C3412">
        <w:rPr>
          <w:rFonts w:ascii="Arial" w:hAnsi="Arial" w:cs="Arial"/>
          <w:bCs/>
          <w:vanish/>
          <w:sz w:val="24"/>
          <w:szCs w:val="24"/>
        </w:rPr>
        <w:pgNum/>
      </w:r>
      <w:r w:rsidRPr="006C3412">
        <w:rPr>
          <w:rFonts w:ascii="Arial" w:hAnsi="Arial" w:cs="Arial"/>
          <w:bCs/>
          <w:vanish/>
          <w:sz w:val="24"/>
          <w:szCs w:val="24"/>
        </w:rPr>
        <w:pgNum/>
      </w:r>
      <w:r w:rsidRPr="006C3412">
        <w:rPr>
          <w:rFonts w:ascii="Arial" w:hAnsi="Arial" w:cs="Arial"/>
          <w:bCs/>
          <w:vanish/>
          <w:sz w:val="24"/>
          <w:szCs w:val="24"/>
        </w:rPr>
        <w:pgNum/>
      </w:r>
      <w:r w:rsidRPr="006C3412">
        <w:rPr>
          <w:rFonts w:ascii="Arial" w:hAnsi="Arial" w:cs="Arial"/>
          <w:bCs/>
          <w:vanish/>
          <w:sz w:val="24"/>
          <w:szCs w:val="24"/>
        </w:rPr>
        <w:pgNum/>
      </w:r>
      <w:r w:rsidRPr="006C3412">
        <w:rPr>
          <w:rFonts w:ascii="Arial" w:hAnsi="Arial" w:cs="Arial"/>
          <w:bCs/>
          <w:vanish/>
          <w:sz w:val="24"/>
          <w:szCs w:val="24"/>
        </w:rPr>
        <w:pgNum/>
      </w:r>
      <w:r w:rsidRPr="006C3412">
        <w:rPr>
          <w:rFonts w:ascii="Arial" w:hAnsi="Arial" w:cs="Arial"/>
          <w:bCs/>
          <w:vanish/>
          <w:sz w:val="24"/>
          <w:szCs w:val="24"/>
        </w:rPr>
        <w:pgNum/>
      </w:r>
      <w:r w:rsidRPr="006C3412">
        <w:rPr>
          <w:rFonts w:ascii="Arial" w:hAnsi="Arial" w:cs="Arial"/>
          <w:bCs/>
          <w:vanish/>
          <w:sz w:val="24"/>
          <w:szCs w:val="24"/>
        </w:rPr>
        <w:pgNum/>
      </w:r>
      <w:r w:rsidRPr="006C3412">
        <w:rPr>
          <w:rFonts w:ascii="Arial" w:hAnsi="Arial" w:cs="Arial"/>
          <w:bCs/>
          <w:vanish/>
          <w:sz w:val="24"/>
          <w:szCs w:val="24"/>
        </w:rPr>
        <w:pgNum/>
      </w:r>
      <w:r w:rsidRPr="006C3412">
        <w:rPr>
          <w:rFonts w:ascii="Arial" w:hAnsi="Arial" w:cs="Arial"/>
          <w:bCs/>
          <w:vanish/>
          <w:sz w:val="24"/>
          <w:szCs w:val="24"/>
        </w:rPr>
        <w:pgNum/>
      </w:r>
    </w:p>
    <w:p w:rsidR="00E25AC7" w:rsidRPr="00DC0F8F" w:rsidRDefault="00E25AC7" w:rsidP="00DC0F8F">
      <w:pPr>
        <w:spacing w:line="360" w:lineRule="auto"/>
        <w:ind w:firstLine="708"/>
        <w:jc w:val="both"/>
        <w:rPr>
          <w:rFonts w:ascii="Arial" w:hAnsi="Arial" w:cs="Arial"/>
          <w:bCs/>
          <w:sz w:val="24"/>
          <w:szCs w:val="24"/>
        </w:rPr>
      </w:pPr>
      <w:r w:rsidRPr="00452ADD">
        <w:rPr>
          <w:rFonts w:ascii="Arial" w:hAnsi="Arial" w:cs="Arial"/>
          <w:sz w:val="24"/>
          <w:szCs w:val="24"/>
          <w:lang w:eastAsia="pt-BR"/>
        </w:rPr>
        <w:t xml:space="preserve">As limitações para esta pesquisa </w:t>
      </w:r>
      <w:r>
        <w:rPr>
          <w:rFonts w:ascii="Arial" w:hAnsi="Arial" w:cs="Arial"/>
          <w:sz w:val="24"/>
          <w:szCs w:val="24"/>
          <w:lang w:eastAsia="pt-BR"/>
        </w:rPr>
        <w:t xml:space="preserve">pautaram-se </w:t>
      </w:r>
      <w:r w:rsidRPr="00452ADD">
        <w:rPr>
          <w:rFonts w:ascii="Arial" w:hAnsi="Arial" w:cs="Arial"/>
          <w:sz w:val="24"/>
          <w:szCs w:val="24"/>
          <w:lang w:eastAsia="pt-BR"/>
        </w:rPr>
        <w:t xml:space="preserve">no acesso aos dados primários, sendo que alguns sites das </w:t>
      </w:r>
      <w:r>
        <w:rPr>
          <w:rFonts w:ascii="Arial" w:hAnsi="Arial" w:cs="Arial"/>
          <w:sz w:val="24"/>
          <w:szCs w:val="24"/>
          <w:lang w:eastAsia="pt-BR"/>
        </w:rPr>
        <w:t xml:space="preserve">prefeituras ainda não </w:t>
      </w:r>
      <w:r w:rsidRPr="00452ADD">
        <w:rPr>
          <w:rFonts w:ascii="Arial" w:hAnsi="Arial" w:cs="Arial"/>
          <w:sz w:val="24"/>
          <w:szCs w:val="24"/>
          <w:lang w:eastAsia="pt-BR"/>
        </w:rPr>
        <w:t xml:space="preserve">apresentam relatórios de execução orçamentária e </w:t>
      </w:r>
      <w:r>
        <w:rPr>
          <w:rFonts w:ascii="Arial" w:hAnsi="Arial" w:cs="Arial"/>
          <w:sz w:val="24"/>
          <w:szCs w:val="24"/>
          <w:lang w:eastAsia="pt-BR"/>
        </w:rPr>
        <w:t>o projeto de</w:t>
      </w:r>
      <w:r w:rsidRPr="00452ADD">
        <w:rPr>
          <w:rFonts w:ascii="Arial" w:hAnsi="Arial" w:cs="Arial"/>
          <w:sz w:val="24"/>
          <w:szCs w:val="24"/>
          <w:lang w:eastAsia="pt-BR"/>
        </w:rPr>
        <w:t xml:space="preserve"> extensão</w:t>
      </w:r>
      <w:r>
        <w:rPr>
          <w:rFonts w:ascii="Arial" w:hAnsi="Arial" w:cs="Arial"/>
          <w:sz w:val="24"/>
          <w:szCs w:val="24"/>
          <w:lang w:eastAsia="pt-BR"/>
        </w:rPr>
        <w:t xml:space="preserve"> Bússola Municipal</w:t>
      </w:r>
      <w:r w:rsidRPr="00452ADD">
        <w:rPr>
          <w:rFonts w:ascii="Arial" w:hAnsi="Arial" w:cs="Arial"/>
          <w:sz w:val="24"/>
          <w:szCs w:val="24"/>
          <w:lang w:eastAsia="pt-BR"/>
        </w:rPr>
        <w:t xml:space="preserve"> dispunha de poucos recursos financeiros para fazer a pesquisa </w:t>
      </w:r>
      <w:r w:rsidRPr="00452ADD">
        <w:rPr>
          <w:rFonts w:ascii="Arial" w:hAnsi="Arial" w:cs="Arial"/>
          <w:i/>
          <w:iCs/>
          <w:sz w:val="24"/>
          <w:szCs w:val="24"/>
          <w:lang w:eastAsia="pt-BR"/>
        </w:rPr>
        <w:t>in loco</w:t>
      </w:r>
      <w:r w:rsidRPr="00452ADD">
        <w:rPr>
          <w:rFonts w:ascii="Arial" w:hAnsi="Arial" w:cs="Arial"/>
          <w:sz w:val="24"/>
          <w:szCs w:val="24"/>
          <w:lang w:eastAsia="pt-BR"/>
        </w:rPr>
        <w:t xml:space="preserve">, por isso, a pesquisa </w:t>
      </w:r>
      <w:r>
        <w:rPr>
          <w:rFonts w:ascii="Arial" w:hAnsi="Arial" w:cs="Arial"/>
          <w:sz w:val="24"/>
          <w:szCs w:val="24"/>
          <w:lang w:eastAsia="pt-BR"/>
        </w:rPr>
        <w:t xml:space="preserve">dos dados financeiros para a coleta dos indicadores </w:t>
      </w:r>
      <w:r w:rsidRPr="00452ADD">
        <w:rPr>
          <w:rFonts w:ascii="Arial" w:hAnsi="Arial" w:cs="Arial"/>
          <w:sz w:val="24"/>
          <w:szCs w:val="24"/>
          <w:lang w:eastAsia="pt-BR"/>
        </w:rPr>
        <w:t>foi realizada em fonte</w:t>
      </w:r>
      <w:r>
        <w:rPr>
          <w:rFonts w:ascii="Arial" w:hAnsi="Arial" w:cs="Arial"/>
          <w:sz w:val="24"/>
          <w:szCs w:val="24"/>
          <w:lang w:eastAsia="pt-BR"/>
        </w:rPr>
        <w:t>s</w:t>
      </w:r>
      <w:r w:rsidRPr="00452ADD">
        <w:rPr>
          <w:rFonts w:ascii="Arial" w:hAnsi="Arial" w:cs="Arial"/>
          <w:sz w:val="24"/>
          <w:szCs w:val="24"/>
          <w:lang w:eastAsia="pt-BR"/>
        </w:rPr>
        <w:t xml:space="preserve"> secundária</w:t>
      </w:r>
      <w:r>
        <w:rPr>
          <w:rFonts w:ascii="Arial" w:hAnsi="Arial" w:cs="Arial"/>
          <w:sz w:val="24"/>
          <w:szCs w:val="24"/>
          <w:lang w:eastAsia="pt-BR"/>
        </w:rPr>
        <w:t>s confiáveis:</w:t>
      </w:r>
      <w:r w:rsidRPr="00452ADD">
        <w:rPr>
          <w:rFonts w:ascii="Arial" w:hAnsi="Arial" w:cs="Arial"/>
          <w:sz w:val="24"/>
          <w:szCs w:val="24"/>
          <w:lang w:eastAsia="pt-BR"/>
        </w:rPr>
        <w:t xml:space="preserve"> no Portal do Cidadão do Tribunal de Contas de Santa Catarina</w:t>
      </w:r>
      <w:r>
        <w:rPr>
          <w:rFonts w:ascii="Arial" w:hAnsi="Arial" w:cs="Arial"/>
          <w:sz w:val="24"/>
          <w:szCs w:val="24"/>
          <w:lang w:eastAsia="pt-BR"/>
        </w:rPr>
        <w:t xml:space="preserve"> e no </w:t>
      </w:r>
      <w:r>
        <w:rPr>
          <w:rFonts w:ascii="Arial" w:hAnsi="Arial" w:cs="Arial"/>
          <w:sz w:val="24"/>
          <w:szCs w:val="24"/>
          <w:lang w:eastAsia="pt-BR"/>
        </w:rPr>
        <w:lastRenderedPageBreak/>
        <w:t>Sistema de Informação sobre Orçamentos Públicos em Saúde (SIOPS) do Ministério da Saúde</w:t>
      </w:r>
      <w:r w:rsidRPr="00452ADD">
        <w:rPr>
          <w:rFonts w:ascii="Arial" w:hAnsi="Arial" w:cs="Arial"/>
          <w:sz w:val="24"/>
          <w:szCs w:val="24"/>
          <w:lang w:eastAsia="pt-BR"/>
        </w:rPr>
        <w:t xml:space="preserve">. </w:t>
      </w:r>
    </w:p>
    <w:p w:rsidR="00E25AC7" w:rsidRPr="00452ADD" w:rsidRDefault="00E25AC7" w:rsidP="00FC4448">
      <w:pPr>
        <w:spacing w:after="0" w:line="360" w:lineRule="auto"/>
        <w:jc w:val="both"/>
        <w:rPr>
          <w:rFonts w:ascii="Arial" w:hAnsi="Arial" w:cs="Arial"/>
          <w:sz w:val="24"/>
          <w:szCs w:val="24"/>
          <w:lang w:eastAsia="pt-BR"/>
        </w:rPr>
      </w:pPr>
      <w:r w:rsidRPr="00452ADD">
        <w:rPr>
          <w:rFonts w:ascii="Arial" w:hAnsi="Arial" w:cs="Arial"/>
          <w:b/>
          <w:bCs/>
          <w:sz w:val="24"/>
          <w:szCs w:val="24"/>
          <w:lang w:eastAsia="pt-BR"/>
        </w:rPr>
        <w:t>Resultados</w:t>
      </w:r>
      <w:r w:rsidRPr="00452ADD">
        <w:rPr>
          <w:rFonts w:ascii="Arial" w:hAnsi="Arial" w:cs="Arial"/>
          <w:sz w:val="24"/>
          <w:szCs w:val="24"/>
          <w:lang w:eastAsia="pt-BR"/>
        </w:rPr>
        <w:br/>
      </w:r>
      <w:r>
        <w:rPr>
          <w:rFonts w:ascii="Arial" w:hAnsi="Arial" w:cs="Arial"/>
          <w:sz w:val="24"/>
          <w:szCs w:val="24"/>
          <w:lang w:eastAsia="pt-BR"/>
        </w:rPr>
        <w:t xml:space="preserve"> </w:t>
      </w:r>
      <w:r>
        <w:rPr>
          <w:rFonts w:ascii="Arial" w:hAnsi="Arial" w:cs="Arial"/>
          <w:sz w:val="24"/>
          <w:szCs w:val="24"/>
          <w:lang w:eastAsia="pt-BR"/>
        </w:rPr>
        <w:tab/>
        <w:t xml:space="preserve">Esta seção apresenta resultados da aplicação do Projeto de Extensão Bussola Municipal na pesquisa de </w:t>
      </w:r>
      <w:r w:rsidRPr="00452ADD">
        <w:rPr>
          <w:rFonts w:ascii="Arial" w:hAnsi="Arial" w:cs="Arial"/>
          <w:sz w:val="24"/>
          <w:szCs w:val="24"/>
          <w:lang w:eastAsia="pt-BR"/>
        </w:rPr>
        <w:t>indicadores da saúde pública</w:t>
      </w:r>
      <w:r>
        <w:rPr>
          <w:rFonts w:ascii="Arial" w:hAnsi="Arial" w:cs="Arial"/>
          <w:sz w:val="24"/>
          <w:szCs w:val="24"/>
          <w:lang w:eastAsia="pt-BR"/>
        </w:rPr>
        <w:t xml:space="preserve"> no intuito de auxiliar a gestão de municípios da SDR de Itajaí. Assim, apresenta-se na sequencia, I</w:t>
      </w:r>
      <w:r w:rsidRPr="00452ADD">
        <w:rPr>
          <w:rFonts w:ascii="Arial" w:hAnsi="Arial" w:cs="Arial"/>
          <w:sz w:val="24"/>
          <w:szCs w:val="24"/>
          <w:lang w:eastAsia="pt-BR"/>
        </w:rPr>
        <w:t xml:space="preserve">ndicadores de </w:t>
      </w:r>
      <w:r>
        <w:rPr>
          <w:rFonts w:ascii="Arial" w:hAnsi="Arial" w:cs="Arial"/>
          <w:sz w:val="24"/>
          <w:szCs w:val="24"/>
          <w:lang w:eastAsia="pt-BR"/>
        </w:rPr>
        <w:t>Responsabilidade F</w:t>
      </w:r>
      <w:r w:rsidRPr="00452ADD">
        <w:rPr>
          <w:rFonts w:ascii="Arial" w:hAnsi="Arial" w:cs="Arial"/>
          <w:sz w:val="24"/>
          <w:szCs w:val="24"/>
          <w:lang w:eastAsia="pt-BR"/>
        </w:rPr>
        <w:t>iscal, no quesito do cumprimento dos lim</w:t>
      </w:r>
      <w:r>
        <w:rPr>
          <w:rFonts w:ascii="Arial" w:hAnsi="Arial" w:cs="Arial"/>
          <w:sz w:val="24"/>
          <w:szCs w:val="24"/>
          <w:lang w:eastAsia="pt-BR"/>
        </w:rPr>
        <w:t>ites constitucionais, e ainda, I</w:t>
      </w:r>
      <w:r w:rsidRPr="00452ADD">
        <w:rPr>
          <w:rFonts w:ascii="Arial" w:hAnsi="Arial" w:cs="Arial"/>
          <w:sz w:val="24"/>
          <w:szCs w:val="24"/>
          <w:lang w:eastAsia="pt-BR"/>
        </w:rPr>
        <w:t xml:space="preserve">ndicadores de </w:t>
      </w:r>
      <w:r>
        <w:rPr>
          <w:rFonts w:ascii="Arial" w:hAnsi="Arial" w:cs="Arial"/>
          <w:sz w:val="24"/>
          <w:szCs w:val="24"/>
          <w:lang w:eastAsia="pt-BR"/>
        </w:rPr>
        <w:t>P</w:t>
      </w:r>
      <w:r w:rsidRPr="001D0C40">
        <w:rPr>
          <w:rFonts w:ascii="Arial" w:hAnsi="Arial" w:cs="Arial"/>
          <w:i/>
          <w:sz w:val="24"/>
          <w:szCs w:val="24"/>
          <w:lang w:eastAsia="pt-BR"/>
        </w:rPr>
        <w:t>erformance</w:t>
      </w:r>
      <w:r w:rsidRPr="00452ADD">
        <w:rPr>
          <w:rFonts w:ascii="Arial" w:hAnsi="Arial" w:cs="Arial"/>
          <w:sz w:val="24"/>
          <w:szCs w:val="24"/>
          <w:lang w:eastAsia="pt-BR"/>
        </w:rPr>
        <w:t xml:space="preserve">, que retratam </w:t>
      </w:r>
      <w:r>
        <w:rPr>
          <w:rFonts w:ascii="Arial" w:hAnsi="Arial" w:cs="Arial"/>
          <w:sz w:val="24"/>
          <w:szCs w:val="24"/>
          <w:lang w:eastAsia="pt-BR"/>
        </w:rPr>
        <w:t xml:space="preserve">os gastos médios com saúde com relação aos recursos próprios, os gastos médios </w:t>
      </w:r>
      <w:r w:rsidRPr="00D2254D">
        <w:rPr>
          <w:rFonts w:ascii="Arial" w:hAnsi="Arial" w:cs="Arial"/>
          <w:i/>
          <w:sz w:val="24"/>
          <w:szCs w:val="24"/>
          <w:lang w:eastAsia="pt-BR"/>
        </w:rPr>
        <w:t>per capita</w:t>
      </w:r>
      <w:r>
        <w:rPr>
          <w:rFonts w:ascii="Arial" w:hAnsi="Arial" w:cs="Arial"/>
          <w:sz w:val="24"/>
          <w:szCs w:val="24"/>
          <w:lang w:eastAsia="pt-BR"/>
        </w:rPr>
        <w:t xml:space="preserve"> a as despesas na Função Saúde para os municípios de Balneário </w:t>
      </w:r>
      <w:proofErr w:type="spellStart"/>
      <w:r>
        <w:rPr>
          <w:rFonts w:ascii="Arial" w:hAnsi="Arial" w:cs="Arial"/>
          <w:sz w:val="24"/>
          <w:szCs w:val="24"/>
          <w:lang w:eastAsia="pt-BR"/>
        </w:rPr>
        <w:t>Camboriu</w:t>
      </w:r>
      <w:proofErr w:type="spellEnd"/>
      <w:r>
        <w:rPr>
          <w:rFonts w:ascii="Arial" w:hAnsi="Arial" w:cs="Arial"/>
          <w:sz w:val="24"/>
          <w:szCs w:val="24"/>
          <w:lang w:eastAsia="pt-BR"/>
        </w:rPr>
        <w:t>, Itapema e Itajaí.</w:t>
      </w:r>
    </w:p>
    <w:p w:rsidR="00E25AC7" w:rsidRDefault="00E25AC7" w:rsidP="00DE4A7C">
      <w:pPr>
        <w:spacing w:after="0" w:line="360" w:lineRule="auto"/>
        <w:ind w:firstLine="720"/>
        <w:jc w:val="both"/>
        <w:rPr>
          <w:rFonts w:ascii="Arial" w:hAnsi="Arial" w:cs="Arial"/>
          <w:sz w:val="24"/>
          <w:szCs w:val="24"/>
          <w:lang w:eastAsia="pt-BR"/>
        </w:rPr>
      </w:pPr>
      <w:r>
        <w:rPr>
          <w:rFonts w:ascii="Arial" w:hAnsi="Arial" w:cs="Arial"/>
          <w:sz w:val="24"/>
          <w:szCs w:val="24"/>
          <w:lang w:eastAsia="pt-BR"/>
        </w:rPr>
        <w:t>Com relação ao</w:t>
      </w:r>
      <w:r w:rsidRPr="00452ADD">
        <w:rPr>
          <w:rFonts w:ascii="Arial" w:hAnsi="Arial" w:cs="Arial"/>
          <w:sz w:val="24"/>
          <w:szCs w:val="24"/>
          <w:lang w:eastAsia="pt-BR"/>
        </w:rPr>
        <w:t xml:space="preserve"> cumprimento do mínimo constitucional, com relação aos municípios selecionados, </w:t>
      </w:r>
      <w:r>
        <w:rPr>
          <w:rFonts w:ascii="Arial" w:hAnsi="Arial" w:cs="Arial"/>
          <w:sz w:val="24"/>
          <w:szCs w:val="24"/>
          <w:lang w:eastAsia="pt-BR"/>
        </w:rPr>
        <w:t>os resultados podem ser observados nos quadros 3, 4 e 5</w:t>
      </w:r>
      <w:r w:rsidRPr="00452ADD">
        <w:rPr>
          <w:rFonts w:ascii="Arial" w:hAnsi="Arial" w:cs="Arial"/>
          <w:sz w:val="24"/>
          <w:szCs w:val="24"/>
          <w:lang w:eastAsia="pt-BR"/>
        </w:rPr>
        <w:t>:</w:t>
      </w:r>
    </w:p>
    <w:p w:rsidR="00E25AC7" w:rsidRPr="00452ADD" w:rsidRDefault="00E25AC7" w:rsidP="00DE4A7C">
      <w:pPr>
        <w:spacing w:after="0" w:line="360" w:lineRule="auto"/>
        <w:ind w:firstLine="720"/>
        <w:jc w:val="both"/>
        <w:rPr>
          <w:rFonts w:ascii="Arial" w:hAnsi="Arial" w:cs="Arial"/>
          <w:sz w:val="24"/>
          <w:szCs w:val="24"/>
          <w:lang w:eastAsia="pt-BR"/>
        </w:rPr>
      </w:pPr>
    </w:p>
    <w:p w:rsidR="00E25AC7" w:rsidRPr="001C741E" w:rsidRDefault="00E25AC7" w:rsidP="00B142BE">
      <w:pPr>
        <w:spacing w:after="0"/>
        <w:jc w:val="center"/>
        <w:rPr>
          <w:rFonts w:ascii="Arial" w:hAnsi="Arial" w:cs="Arial"/>
          <w:b/>
          <w:sz w:val="24"/>
          <w:szCs w:val="24"/>
          <w:lang w:eastAsia="pt-BR"/>
        </w:rPr>
      </w:pPr>
      <w:r w:rsidRPr="00452ADD">
        <w:rPr>
          <w:rFonts w:ascii="Arial" w:hAnsi="Arial" w:cs="Arial"/>
          <w:b/>
          <w:bCs/>
          <w:sz w:val="24"/>
          <w:szCs w:val="24"/>
          <w:lang w:eastAsia="pt-BR"/>
        </w:rPr>
        <w:t xml:space="preserve">Quadro </w:t>
      </w:r>
      <w:r>
        <w:rPr>
          <w:rFonts w:ascii="Arial" w:hAnsi="Arial" w:cs="Arial"/>
          <w:b/>
          <w:bCs/>
          <w:sz w:val="24"/>
          <w:szCs w:val="24"/>
          <w:lang w:eastAsia="pt-BR"/>
        </w:rPr>
        <w:t>3 -</w:t>
      </w:r>
      <w:r w:rsidRPr="00452ADD">
        <w:rPr>
          <w:rFonts w:ascii="Arial" w:hAnsi="Arial" w:cs="Arial"/>
          <w:sz w:val="24"/>
          <w:szCs w:val="24"/>
          <w:lang w:eastAsia="pt-BR"/>
        </w:rPr>
        <w:t xml:space="preserve"> </w:t>
      </w:r>
      <w:r w:rsidRPr="001C741E">
        <w:rPr>
          <w:rFonts w:ascii="Arial" w:hAnsi="Arial" w:cs="Arial"/>
          <w:b/>
          <w:sz w:val="24"/>
          <w:szCs w:val="24"/>
          <w:lang w:eastAsia="pt-BR"/>
        </w:rPr>
        <w:t>Percentual dos recursos próprios aplicados em saúde em Balneário Camboriú (2004 a 2010).</w:t>
      </w:r>
    </w:p>
    <w:p w:rsidR="00E25AC7" w:rsidRDefault="00E25AC7" w:rsidP="00914603">
      <w:pPr>
        <w:spacing w:after="0" w:line="360" w:lineRule="auto"/>
        <w:jc w:val="center"/>
        <w:rPr>
          <w:rFonts w:ascii="Arial" w:hAnsi="Arial" w:cs="Arial"/>
          <w:sz w:val="24"/>
          <w:szCs w:val="24"/>
          <w:lang w:eastAsia="pt-BR"/>
        </w:rPr>
      </w:pPr>
    </w:p>
    <w:tbl>
      <w:tblPr>
        <w:tblW w:w="6400" w:type="dxa"/>
        <w:jc w:val="center"/>
        <w:tblInd w:w="55" w:type="dxa"/>
        <w:tblCellMar>
          <w:left w:w="70" w:type="dxa"/>
          <w:right w:w="70" w:type="dxa"/>
        </w:tblCellMar>
        <w:tblLook w:val="00A0" w:firstRow="1" w:lastRow="0" w:firstColumn="1" w:lastColumn="0" w:noHBand="0" w:noVBand="0"/>
      </w:tblPr>
      <w:tblGrid>
        <w:gridCol w:w="996"/>
        <w:gridCol w:w="2579"/>
        <w:gridCol w:w="1134"/>
        <w:gridCol w:w="1691"/>
      </w:tblGrid>
      <w:tr w:rsidR="00E25AC7" w:rsidRPr="008313B9" w:rsidTr="007E3174">
        <w:trPr>
          <w:trHeight w:val="540"/>
          <w:jc w:val="center"/>
        </w:trPr>
        <w:tc>
          <w:tcPr>
            <w:tcW w:w="996" w:type="dxa"/>
            <w:tcBorders>
              <w:top w:val="single" w:sz="8" w:space="0" w:color="auto"/>
              <w:left w:val="single" w:sz="8" w:space="0" w:color="auto"/>
              <w:bottom w:val="single" w:sz="8" w:space="0" w:color="auto"/>
              <w:right w:val="single" w:sz="4" w:space="0" w:color="auto"/>
            </w:tcBorders>
            <w:shd w:val="clear" w:color="000000" w:fill="C4BD97"/>
            <w:vAlign w:val="center"/>
          </w:tcPr>
          <w:p w:rsidR="00E25AC7" w:rsidRPr="00CE7C96" w:rsidRDefault="00E25AC7" w:rsidP="00CE7C96">
            <w:pPr>
              <w:spacing w:after="0" w:line="240" w:lineRule="auto"/>
              <w:jc w:val="center"/>
              <w:rPr>
                <w:rFonts w:ascii="Arial" w:hAnsi="Arial" w:cs="Arial"/>
                <w:b/>
                <w:bCs/>
                <w:color w:val="000000"/>
                <w:sz w:val="20"/>
                <w:szCs w:val="20"/>
                <w:lang w:eastAsia="pt-BR"/>
              </w:rPr>
            </w:pPr>
            <w:r>
              <w:rPr>
                <w:rFonts w:ascii="Arial" w:hAnsi="Arial" w:cs="Arial"/>
                <w:b/>
                <w:bCs/>
                <w:color w:val="000000"/>
                <w:sz w:val="20"/>
                <w:szCs w:val="20"/>
                <w:lang w:eastAsia="pt-BR"/>
              </w:rPr>
              <w:t>P</w:t>
            </w:r>
            <w:r w:rsidRPr="00CE7C96">
              <w:rPr>
                <w:rFonts w:ascii="Arial" w:hAnsi="Arial" w:cs="Arial"/>
                <w:b/>
                <w:bCs/>
                <w:color w:val="000000"/>
                <w:sz w:val="20"/>
                <w:szCs w:val="20"/>
                <w:lang w:eastAsia="pt-BR"/>
              </w:rPr>
              <w:t>eríodos</w:t>
            </w:r>
          </w:p>
        </w:tc>
        <w:tc>
          <w:tcPr>
            <w:tcW w:w="2579" w:type="dxa"/>
            <w:tcBorders>
              <w:top w:val="single" w:sz="8" w:space="0" w:color="auto"/>
              <w:left w:val="nil"/>
              <w:bottom w:val="single" w:sz="8" w:space="0" w:color="auto"/>
              <w:right w:val="single" w:sz="4" w:space="0" w:color="auto"/>
            </w:tcBorders>
            <w:shd w:val="clear" w:color="000000" w:fill="C4BD97"/>
            <w:vAlign w:val="center"/>
          </w:tcPr>
          <w:p w:rsidR="00E25AC7" w:rsidRPr="00CE7C96" w:rsidRDefault="00E25AC7" w:rsidP="00CE7C96">
            <w:pPr>
              <w:spacing w:after="0" w:line="240" w:lineRule="auto"/>
              <w:jc w:val="center"/>
              <w:rPr>
                <w:rFonts w:ascii="Arial" w:hAnsi="Arial" w:cs="Arial"/>
                <w:b/>
                <w:bCs/>
                <w:color w:val="000000"/>
                <w:sz w:val="20"/>
                <w:szCs w:val="20"/>
                <w:lang w:eastAsia="pt-BR"/>
              </w:rPr>
            </w:pPr>
            <w:r w:rsidRPr="00CE7C96">
              <w:rPr>
                <w:rFonts w:ascii="Arial" w:hAnsi="Arial" w:cs="Arial"/>
                <w:b/>
                <w:bCs/>
                <w:color w:val="000000"/>
                <w:sz w:val="20"/>
                <w:szCs w:val="20"/>
                <w:lang w:eastAsia="pt-BR"/>
              </w:rPr>
              <w:t>Despesas com saúde para efeito de Cálculo</w:t>
            </w:r>
          </w:p>
        </w:tc>
        <w:tc>
          <w:tcPr>
            <w:tcW w:w="1134" w:type="dxa"/>
            <w:tcBorders>
              <w:top w:val="single" w:sz="8" w:space="0" w:color="auto"/>
              <w:left w:val="nil"/>
              <w:bottom w:val="single" w:sz="8" w:space="0" w:color="auto"/>
              <w:right w:val="single" w:sz="4" w:space="0" w:color="auto"/>
            </w:tcBorders>
            <w:shd w:val="clear" w:color="000000" w:fill="C4BD97"/>
            <w:vAlign w:val="center"/>
          </w:tcPr>
          <w:p w:rsidR="00E25AC7" w:rsidRPr="00CE7C96" w:rsidRDefault="00E25AC7" w:rsidP="00CE7C96">
            <w:pPr>
              <w:spacing w:after="0" w:line="240" w:lineRule="auto"/>
              <w:jc w:val="center"/>
              <w:rPr>
                <w:rFonts w:ascii="Arial" w:hAnsi="Arial" w:cs="Arial"/>
                <w:b/>
                <w:bCs/>
                <w:color w:val="000000"/>
                <w:sz w:val="20"/>
                <w:szCs w:val="20"/>
                <w:lang w:eastAsia="pt-BR"/>
              </w:rPr>
            </w:pPr>
            <w:r w:rsidRPr="00CE7C96">
              <w:rPr>
                <w:rFonts w:ascii="Arial" w:hAnsi="Arial" w:cs="Arial"/>
                <w:b/>
                <w:bCs/>
                <w:color w:val="000000"/>
                <w:sz w:val="20"/>
                <w:szCs w:val="20"/>
                <w:lang w:eastAsia="pt-BR"/>
              </w:rPr>
              <w:t>% aplicado</w:t>
            </w:r>
          </w:p>
        </w:tc>
        <w:tc>
          <w:tcPr>
            <w:tcW w:w="1691" w:type="dxa"/>
            <w:tcBorders>
              <w:top w:val="single" w:sz="8" w:space="0" w:color="auto"/>
              <w:left w:val="nil"/>
              <w:bottom w:val="single" w:sz="8" w:space="0" w:color="auto"/>
              <w:right w:val="single" w:sz="8" w:space="0" w:color="auto"/>
            </w:tcBorders>
            <w:shd w:val="clear" w:color="000000" w:fill="C4BD97"/>
            <w:vAlign w:val="center"/>
          </w:tcPr>
          <w:p w:rsidR="00E25AC7" w:rsidRPr="00CE7C96" w:rsidRDefault="00E25AC7" w:rsidP="00CE7C96">
            <w:pPr>
              <w:spacing w:after="0" w:line="240" w:lineRule="auto"/>
              <w:jc w:val="center"/>
              <w:rPr>
                <w:rFonts w:ascii="Arial" w:hAnsi="Arial" w:cs="Arial"/>
                <w:b/>
                <w:bCs/>
                <w:color w:val="000000"/>
                <w:sz w:val="20"/>
                <w:szCs w:val="20"/>
                <w:lang w:eastAsia="pt-BR"/>
              </w:rPr>
            </w:pPr>
            <w:r w:rsidRPr="00CE7C96">
              <w:rPr>
                <w:rFonts w:ascii="Arial" w:hAnsi="Arial" w:cs="Arial"/>
                <w:b/>
                <w:bCs/>
                <w:color w:val="000000"/>
                <w:sz w:val="20"/>
                <w:szCs w:val="20"/>
                <w:lang w:eastAsia="pt-BR"/>
              </w:rPr>
              <w:t xml:space="preserve">Cumprimento </w:t>
            </w:r>
          </w:p>
        </w:tc>
      </w:tr>
      <w:tr w:rsidR="00E25AC7" w:rsidRPr="008313B9" w:rsidTr="007E3174">
        <w:trPr>
          <w:trHeight w:val="288"/>
          <w:jc w:val="center"/>
        </w:trPr>
        <w:tc>
          <w:tcPr>
            <w:tcW w:w="996" w:type="dxa"/>
            <w:tcBorders>
              <w:top w:val="nil"/>
              <w:left w:val="single" w:sz="8" w:space="0" w:color="auto"/>
              <w:bottom w:val="single" w:sz="4" w:space="0" w:color="auto"/>
              <w:right w:val="single" w:sz="4" w:space="0" w:color="auto"/>
            </w:tcBorders>
            <w:vAlign w:val="center"/>
          </w:tcPr>
          <w:p w:rsidR="00E25AC7" w:rsidRPr="00CE7C96" w:rsidRDefault="00E25AC7" w:rsidP="00CE7C96">
            <w:pPr>
              <w:spacing w:after="0" w:line="240" w:lineRule="auto"/>
              <w:jc w:val="center"/>
              <w:rPr>
                <w:rFonts w:ascii="Arial" w:hAnsi="Arial" w:cs="Arial"/>
                <w:color w:val="000000"/>
                <w:sz w:val="20"/>
                <w:szCs w:val="20"/>
                <w:lang w:eastAsia="pt-BR"/>
              </w:rPr>
            </w:pPr>
            <w:r w:rsidRPr="00CE7C96">
              <w:rPr>
                <w:rFonts w:ascii="Arial" w:hAnsi="Arial" w:cs="Arial"/>
                <w:color w:val="000000"/>
                <w:sz w:val="20"/>
                <w:szCs w:val="20"/>
                <w:lang w:eastAsia="pt-BR"/>
              </w:rPr>
              <w:t>2004</w:t>
            </w:r>
          </w:p>
        </w:tc>
        <w:tc>
          <w:tcPr>
            <w:tcW w:w="2579" w:type="dxa"/>
            <w:tcBorders>
              <w:top w:val="nil"/>
              <w:left w:val="nil"/>
              <w:bottom w:val="single" w:sz="4" w:space="0" w:color="auto"/>
              <w:right w:val="single" w:sz="4" w:space="0" w:color="auto"/>
            </w:tcBorders>
            <w:vAlign w:val="center"/>
          </w:tcPr>
          <w:p w:rsidR="00E25AC7" w:rsidRPr="00CE7C96" w:rsidRDefault="00E25AC7" w:rsidP="00CE7C96">
            <w:pPr>
              <w:spacing w:after="0" w:line="240" w:lineRule="auto"/>
              <w:jc w:val="center"/>
              <w:rPr>
                <w:rFonts w:ascii="Arial" w:hAnsi="Arial" w:cs="Arial"/>
                <w:color w:val="000000"/>
                <w:sz w:val="20"/>
                <w:szCs w:val="20"/>
                <w:lang w:eastAsia="pt-BR"/>
              </w:rPr>
            </w:pPr>
            <w:r w:rsidRPr="00CE7C96">
              <w:rPr>
                <w:rFonts w:ascii="Arial" w:hAnsi="Arial" w:cs="Arial"/>
                <w:color w:val="000000"/>
                <w:sz w:val="20"/>
                <w:szCs w:val="20"/>
                <w:lang w:eastAsia="pt-BR"/>
              </w:rPr>
              <w:t>16.475.760,96</w:t>
            </w:r>
          </w:p>
        </w:tc>
        <w:tc>
          <w:tcPr>
            <w:tcW w:w="1134" w:type="dxa"/>
            <w:tcBorders>
              <w:top w:val="nil"/>
              <w:left w:val="nil"/>
              <w:bottom w:val="single" w:sz="4" w:space="0" w:color="auto"/>
              <w:right w:val="single" w:sz="4" w:space="0" w:color="auto"/>
            </w:tcBorders>
            <w:vAlign w:val="center"/>
          </w:tcPr>
          <w:p w:rsidR="00E25AC7" w:rsidRPr="00CE7C96" w:rsidRDefault="00E25AC7" w:rsidP="00CE7C96">
            <w:pPr>
              <w:spacing w:after="0" w:line="240" w:lineRule="auto"/>
              <w:jc w:val="center"/>
              <w:rPr>
                <w:rFonts w:ascii="Arial" w:hAnsi="Arial" w:cs="Arial"/>
                <w:color w:val="000000"/>
                <w:sz w:val="20"/>
                <w:szCs w:val="20"/>
                <w:lang w:eastAsia="pt-BR"/>
              </w:rPr>
            </w:pPr>
            <w:r w:rsidRPr="00CE7C96">
              <w:rPr>
                <w:rFonts w:ascii="Arial" w:hAnsi="Arial" w:cs="Arial"/>
                <w:color w:val="000000"/>
                <w:sz w:val="20"/>
                <w:szCs w:val="20"/>
                <w:lang w:eastAsia="pt-BR"/>
              </w:rPr>
              <w:t>21,92</w:t>
            </w:r>
          </w:p>
        </w:tc>
        <w:tc>
          <w:tcPr>
            <w:tcW w:w="1691" w:type="dxa"/>
            <w:tcBorders>
              <w:top w:val="nil"/>
              <w:left w:val="nil"/>
              <w:bottom w:val="single" w:sz="4" w:space="0" w:color="auto"/>
              <w:right w:val="single" w:sz="8" w:space="0" w:color="auto"/>
            </w:tcBorders>
            <w:vAlign w:val="center"/>
          </w:tcPr>
          <w:p w:rsidR="00E25AC7" w:rsidRPr="00CE7C96" w:rsidRDefault="00E25AC7" w:rsidP="00CE7C96">
            <w:pPr>
              <w:spacing w:after="0" w:line="240" w:lineRule="auto"/>
              <w:jc w:val="center"/>
              <w:rPr>
                <w:rFonts w:ascii="Arial" w:hAnsi="Arial" w:cs="Arial"/>
                <w:color w:val="000000"/>
                <w:sz w:val="20"/>
                <w:szCs w:val="20"/>
                <w:lang w:eastAsia="pt-BR"/>
              </w:rPr>
            </w:pPr>
            <w:r w:rsidRPr="00CE7C96">
              <w:rPr>
                <w:rFonts w:ascii="Arial" w:hAnsi="Arial" w:cs="Arial"/>
                <w:color w:val="000000"/>
                <w:sz w:val="20"/>
                <w:szCs w:val="20"/>
                <w:lang w:eastAsia="pt-BR"/>
              </w:rPr>
              <w:t>Cumpriu</w:t>
            </w:r>
          </w:p>
        </w:tc>
      </w:tr>
      <w:tr w:rsidR="00E25AC7" w:rsidRPr="008313B9" w:rsidTr="007E3174">
        <w:trPr>
          <w:trHeight w:val="288"/>
          <w:jc w:val="center"/>
        </w:trPr>
        <w:tc>
          <w:tcPr>
            <w:tcW w:w="996" w:type="dxa"/>
            <w:tcBorders>
              <w:top w:val="nil"/>
              <w:left w:val="single" w:sz="8" w:space="0" w:color="auto"/>
              <w:bottom w:val="single" w:sz="4" w:space="0" w:color="auto"/>
              <w:right w:val="single" w:sz="4" w:space="0" w:color="auto"/>
            </w:tcBorders>
            <w:vAlign w:val="center"/>
          </w:tcPr>
          <w:p w:rsidR="00E25AC7" w:rsidRPr="00CE7C96" w:rsidRDefault="00E25AC7" w:rsidP="00CE7C96">
            <w:pPr>
              <w:spacing w:after="0" w:line="240" w:lineRule="auto"/>
              <w:jc w:val="center"/>
              <w:rPr>
                <w:rFonts w:ascii="Arial" w:hAnsi="Arial" w:cs="Arial"/>
                <w:color w:val="000000"/>
                <w:sz w:val="20"/>
                <w:szCs w:val="20"/>
                <w:lang w:eastAsia="pt-BR"/>
              </w:rPr>
            </w:pPr>
            <w:r w:rsidRPr="00CE7C96">
              <w:rPr>
                <w:rFonts w:ascii="Arial" w:hAnsi="Arial" w:cs="Arial"/>
                <w:color w:val="000000"/>
                <w:sz w:val="20"/>
                <w:szCs w:val="20"/>
                <w:lang w:eastAsia="pt-BR"/>
              </w:rPr>
              <w:t>2005</w:t>
            </w:r>
          </w:p>
        </w:tc>
        <w:tc>
          <w:tcPr>
            <w:tcW w:w="2579" w:type="dxa"/>
            <w:tcBorders>
              <w:top w:val="nil"/>
              <w:left w:val="nil"/>
              <w:bottom w:val="single" w:sz="4" w:space="0" w:color="auto"/>
              <w:right w:val="single" w:sz="4" w:space="0" w:color="auto"/>
            </w:tcBorders>
            <w:vAlign w:val="center"/>
          </w:tcPr>
          <w:p w:rsidR="00E25AC7" w:rsidRPr="00CE7C96" w:rsidRDefault="00E25AC7" w:rsidP="00CE7C96">
            <w:pPr>
              <w:spacing w:after="0" w:line="240" w:lineRule="auto"/>
              <w:jc w:val="center"/>
              <w:rPr>
                <w:rFonts w:ascii="Arial" w:hAnsi="Arial" w:cs="Arial"/>
                <w:color w:val="000000"/>
                <w:sz w:val="20"/>
                <w:szCs w:val="20"/>
                <w:lang w:eastAsia="pt-BR"/>
              </w:rPr>
            </w:pPr>
            <w:r w:rsidRPr="00CE7C96">
              <w:rPr>
                <w:rFonts w:ascii="Arial" w:hAnsi="Arial" w:cs="Arial"/>
                <w:color w:val="000000"/>
                <w:sz w:val="20"/>
                <w:szCs w:val="20"/>
                <w:lang w:eastAsia="pt-BR"/>
              </w:rPr>
              <w:t>18.632.048,08</w:t>
            </w:r>
          </w:p>
        </w:tc>
        <w:tc>
          <w:tcPr>
            <w:tcW w:w="1134" w:type="dxa"/>
            <w:tcBorders>
              <w:top w:val="nil"/>
              <w:left w:val="nil"/>
              <w:bottom w:val="single" w:sz="4" w:space="0" w:color="auto"/>
              <w:right w:val="single" w:sz="4" w:space="0" w:color="auto"/>
            </w:tcBorders>
            <w:vAlign w:val="center"/>
          </w:tcPr>
          <w:p w:rsidR="00E25AC7" w:rsidRPr="00CE7C96" w:rsidRDefault="00E25AC7" w:rsidP="00CE7C96">
            <w:pPr>
              <w:spacing w:after="0" w:line="240" w:lineRule="auto"/>
              <w:jc w:val="center"/>
              <w:rPr>
                <w:rFonts w:ascii="Arial" w:hAnsi="Arial" w:cs="Arial"/>
                <w:color w:val="000000"/>
                <w:sz w:val="20"/>
                <w:szCs w:val="20"/>
                <w:lang w:eastAsia="pt-BR"/>
              </w:rPr>
            </w:pPr>
            <w:r w:rsidRPr="00CE7C96">
              <w:rPr>
                <w:rFonts w:ascii="Arial" w:hAnsi="Arial" w:cs="Arial"/>
                <w:color w:val="000000"/>
                <w:sz w:val="20"/>
                <w:szCs w:val="20"/>
                <w:lang w:eastAsia="pt-BR"/>
              </w:rPr>
              <w:t>21,9</w:t>
            </w:r>
          </w:p>
        </w:tc>
        <w:tc>
          <w:tcPr>
            <w:tcW w:w="1691" w:type="dxa"/>
            <w:tcBorders>
              <w:top w:val="nil"/>
              <w:left w:val="nil"/>
              <w:bottom w:val="single" w:sz="4" w:space="0" w:color="auto"/>
              <w:right w:val="single" w:sz="8" w:space="0" w:color="auto"/>
            </w:tcBorders>
            <w:vAlign w:val="center"/>
          </w:tcPr>
          <w:p w:rsidR="00E25AC7" w:rsidRPr="00CE7C96" w:rsidRDefault="00E25AC7" w:rsidP="00CE7C96">
            <w:pPr>
              <w:spacing w:after="0" w:line="240" w:lineRule="auto"/>
              <w:jc w:val="center"/>
              <w:rPr>
                <w:rFonts w:ascii="Arial" w:hAnsi="Arial" w:cs="Arial"/>
                <w:color w:val="000000"/>
                <w:sz w:val="20"/>
                <w:szCs w:val="20"/>
                <w:lang w:eastAsia="pt-BR"/>
              </w:rPr>
            </w:pPr>
            <w:r w:rsidRPr="00CE7C96">
              <w:rPr>
                <w:rFonts w:ascii="Arial" w:hAnsi="Arial" w:cs="Arial"/>
                <w:color w:val="000000"/>
                <w:sz w:val="20"/>
                <w:szCs w:val="20"/>
                <w:lang w:eastAsia="pt-BR"/>
              </w:rPr>
              <w:t>Cumpriu</w:t>
            </w:r>
          </w:p>
        </w:tc>
      </w:tr>
      <w:tr w:rsidR="00E25AC7" w:rsidRPr="008313B9" w:rsidTr="007E3174">
        <w:trPr>
          <w:trHeight w:val="288"/>
          <w:jc w:val="center"/>
        </w:trPr>
        <w:tc>
          <w:tcPr>
            <w:tcW w:w="996" w:type="dxa"/>
            <w:tcBorders>
              <w:top w:val="nil"/>
              <w:left w:val="single" w:sz="8" w:space="0" w:color="auto"/>
              <w:bottom w:val="single" w:sz="4" w:space="0" w:color="auto"/>
              <w:right w:val="single" w:sz="4" w:space="0" w:color="auto"/>
            </w:tcBorders>
            <w:vAlign w:val="center"/>
          </w:tcPr>
          <w:p w:rsidR="00E25AC7" w:rsidRPr="00CE7C96" w:rsidRDefault="00E25AC7" w:rsidP="00CE7C96">
            <w:pPr>
              <w:spacing w:after="0" w:line="240" w:lineRule="auto"/>
              <w:jc w:val="center"/>
              <w:rPr>
                <w:rFonts w:ascii="Arial" w:hAnsi="Arial" w:cs="Arial"/>
                <w:color w:val="000000"/>
                <w:sz w:val="20"/>
                <w:szCs w:val="20"/>
                <w:lang w:eastAsia="pt-BR"/>
              </w:rPr>
            </w:pPr>
            <w:r w:rsidRPr="00CE7C96">
              <w:rPr>
                <w:rFonts w:ascii="Arial" w:hAnsi="Arial" w:cs="Arial"/>
                <w:color w:val="000000"/>
                <w:sz w:val="20"/>
                <w:szCs w:val="20"/>
                <w:lang w:eastAsia="pt-BR"/>
              </w:rPr>
              <w:t>2006</w:t>
            </w:r>
          </w:p>
        </w:tc>
        <w:tc>
          <w:tcPr>
            <w:tcW w:w="2579" w:type="dxa"/>
            <w:tcBorders>
              <w:top w:val="nil"/>
              <w:left w:val="nil"/>
              <w:bottom w:val="single" w:sz="4" w:space="0" w:color="auto"/>
              <w:right w:val="single" w:sz="4" w:space="0" w:color="auto"/>
            </w:tcBorders>
            <w:vAlign w:val="center"/>
          </w:tcPr>
          <w:p w:rsidR="00E25AC7" w:rsidRPr="00CE7C96" w:rsidRDefault="00E25AC7" w:rsidP="00CE7C96">
            <w:pPr>
              <w:spacing w:after="0" w:line="240" w:lineRule="auto"/>
              <w:jc w:val="center"/>
              <w:rPr>
                <w:rFonts w:ascii="Arial" w:hAnsi="Arial" w:cs="Arial"/>
                <w:color w:val="000000"/>
                <w:sz w:val="20"/>
                <w:szCs w:val="20"/>
                <w:lang w:eastAsia="pt-BR"/>
              </w:rPr>
            </w:pPr>
            <w:r w:rsidRPr="00CE7C96">
              <w:rPr>
                <w:rFonts w:ascii="Arial" w:hAnsi="Arial" w:cs="Arial"/>
                <w:color w:val="000000"/>
                <w:sz w:val="20"/>
                <w:szCs w:val="20"/>
                <w:lang w:eastAsia="pt-BR"/>
              </w:rPr>
              <w:t>17.795.793,65</w:t>
            </w:r>
          </w:p>
        </w:tc>
        <w:tc>
          <w:tcPr>
            <w:tcW w:w="1134" w:type="dxa"/>
            <w:tcBorders>
              <w:top w:val="nil"/>
              <w:left w:val="nil"/>
              <w:bottom w:val="single" w:sz="4" w:space="0" w:color="auto"/>
              <w:right w:val="single" w:sz="4" w:space="0" w:color="auto"/>
            </w:tcBorders>
            <w:vAlign w:val="center"/>
          </w:tcPr>
          <w:p w:rsidR="00E25AC7" w:rsidRPr="00CE7C96" w:rsidRDefault="00E25AC7" w:rsidP="00CE7C96">
            <w:pPr>
              <w:spacing w:after="0" w:line="240" w:lineRule="auto"/>
              <w:jc w:val="center"/>
              <w:rPr>
                <w:rFonts w:ascii="Arial" w:hAnsi="Arial" w:cs="Arial"/>
                <w:color w:val="000000"/>
                <w:sz w:val="20"/>
                <w:szCs w:val="20"/>
                <w:lang w:eastAsia="pt-BR"/>
              </w:rPr>
            </w:pPr>
            <w:r w:rsidRPr="00CE7C96">
              <w:rPr>
                <w:rFonts w:ascii="Arial" w:hAnsi="Arial" w:cs="Arial"/>
                <w:color w:val="000000"/>
                <w:sz w:val="20"/>
                <w:szCs w:val="20"/>
                <w:lang w:eastAsia="pt-BR"/>
              </w:rPr>
              <w:t>18,42</w:t>
            </w:r>
          </w:p>
        </w:tc>
        <w:tc>
          <w:tcPr>
            <w:tcW w:w="1691" w:type="dxa"/>
            <w:tcBorders>
              <w:top w:val="nil"/>
              <w:left w:val="nil"/>
              <w:bottom w:val="single" w:sz="4" w:space="0" w:color="auto"/>
              <w:right w:val="single" w:sz="8" w:space="0" w:color="auto"/>
            </w:tcBorders>
            <w:vAlign w:val="center"/>
          </w:tcPr>
          <w:p w:rsidR="00E25AC7" w:rsidRPr="00CE7C96" w:rsidRDefault="00E25AC7" w:rsidP="00CE7C96">
            <w:pPr>
              <w:spacing w:after="0" w:line="240" w:lineRule="auto"/>
              <w:jc w:val="center"/>
              <w:rPr>
                <w:rFonts w:ascii="Arial" w:hAnsi="Arial" w:cs="Arial"/>
                <w:color w:val="000000"/>
                <w:sz w:val="20"/>
                <w:szCs w:val="20"/>
                <w:lang w:eastAsia="pt-BR"/>
              </w:rPr>
            </w:pPr>
            <w:r w:rsidRPr="00CE7C96">
              <w:rPr>
                <w:rFonts w:ascii="Arial" w:hAnsi="Arial" w:cs="Arial"/>
                <w:color w:val="000000"/>
                <w:sz w:val="20"/>
                <w:szCs w:val="20"/>
                <w:lang w:eastAsia="pt-BR"/>
              </w:rPr>
              <w:t>Cumpriu</w:t>
            </w:r>
          </w:p>
        </w:tc>
      </w:tr>
      <w:tr w:rsidR="00E25AC7" w:rsidRPr="008313B9" w:rsidTr="007E3174">
        <w:trPr>
          <w:trHeight w:val="288"/>
          <w:jc w:val="center"/>
        </w:trPr>
        <w:tc>
          <w:tcPr>
            <w:tcW w:w="996" w:type="dxa"/>
            <w:tcBorders>
              <w:top w:val="nil"/>
              <w:left w:val="single" w:sz="8" w:space="0" w:color="auto"/>
              <w:bottom w:val="single" w:sz="4" w:space="0" w:color="auto"/>
              <w:right w:val="single" w:sz="4" w:space="0" w:color="auto"/>
            </w:tcBorders>
            <w:vAlign w:val="center"/>
          </w:tcPr>
          <w:p w:rsidR="00E25AC7" w:rsidRPr="00CE7C96" w:rsidRDefault="00E25AC7" w:rsidP="00CE7C96">
            <w:pPr>
              <w:spacing w:after="0" w:line="240" w:lineRule="auto"/>
              <w:jc w:val="center"/>
              <w:rPr>
                <w:rFonts w:ascii="Arial" w:hAnsi="Arial" w:cs="Arial"/>
                <w:color w:val="000000"/>
                <w:sz w:val="20"/>
                <w:szCs w:val="20"/>
                <w:lang w:eastAsia="pt-BR"/>
              </w:rPr>
            </w:pPr>
            <w:r w:rsidRPr="00CE7C96">
              <w:rPr>
                <w:rFonts w:ascii="Arial" w:hAnsi="Arial" w:cs="Arial"/>
                <w:color w:val="000000"/>
                <w:sz w:val="20"/>
                <w:szCs w:val="20"/>
                <w:lang w:eastAsia="pt-BR"/>
              </w:rPr>
              <w:t>2007</w:t>
            </w:r>
          </w:p>
        </w:tc>
        <w:tc>
          <w:tcPr>
            <w:tcW w:w="2579" w:type="dxa"/>
            <w:tcBorders>
              <w:top w:val="nil"/>
              <w:left w:val="nil"/>
              <w:bottom w:val="single" w:sz="4" w:space="0" w:color="auto"/>
              <w:right w:val="single" w:sz="4" w:space="0" w:color="auto"/>
            </w:tcBorders>
            <w:vAlign w:val="center"/>
          </w:tcPr>
          <w:p w:rsidR="00E25AC7" w:rsidRPr="00CE7C96" w:rsidRDefault="00E25AC7" w:rsidP="00CE7C96">
            <w:pPr>
              <w:spacing w:after="0" w:line="240" w:lineRule="auto"/>
              <w:jc w:val="center"/>
              <w:rPr>
                <w:rFonts w:ascii="Arial" w:hAnsi="Arial" w:cs="Arial"/>
                <w:color w:val="000000"/>
                <w:sz w:val="20"/>
                <w:szCs w:val="20"/>
                <w:lang w:eastAsia="pt-BR"/>
              </w:rPr>
            </w:pPr>
            <w:r w:rsidRPr="00CE7C96">
              <w:rPr>
                <w:rFonts w:ascii="Arial" w:hAnsi="Arial" w:cs="Arial"/>
                <w:color w:val="000000"/>
                <w:sz w:val="20"/>
                <w:szCs w:val="20"/>
                <w:lang w:eastAsia="pt-BR"/>
              </w:rPr>
              <w:t>26.205.648,59</w:t>
            </w:r>
          </w:p>
        </w:tc>
        <w:tc>
          <w:tcPr>
            <w:tcW w:w="1134" w:type="dxa"/>
            <w:tcBorders>
              <w:top w:val="nil"/>
              <w:left w:val="nil"/>
              <w:bottom w:val="single" w:sz="4" w:space="0" w:color="auto"/>
              <w:right w:val="single" w:sz="4" w:space="0" w:color="auto"/>
            </w:tcBorders>
            <w:vAlign w:val="center"/>
          </w:tcPr>
          <w:p w:rsidR="00E25AC7" w:rsidRPr="00CE7C96" w:rsidRDefault="00E25AC7" w:rsidP="00CE7C96">
            <w:pPr>
              <w:spacing w:after="0" w:line="240" w:lineRule="auto"/>
              <w:jc w:val="center"/>
              <w:rPr>
                <w:rFonts w:ascii="Arial" w:hAnsi="Arial" w:cs="Arial"/>
                <w:color w:val="000000"/>
                <w:sz w:val="20"/>
                <w:szCs w:val="20"/>
                <w:lang w:eastAsia="pt-BR"/>
              </w:rPr>
            </w:pPr>
            <w:r w:rsidRPr="00CE7C96">
              <w:rPr>
                <w:rFonts w:ascii="Arial" w:hAnsi="Arial" w:cs="Arial"/>
                <w:color w:val="000000"/>
                <w:sz w:val="20"/>
                <w:szCs w:val="20"/>
                <w:lang w:eastAsia="pt-BR"/>
              </w:rPr>
              <w:t>22,97</w:t>
            </w:r>
          </w:p>
        </w:tc>
        <w:tc>
          <w:tcPr>
            <w:tcW w:w="1691" w:type="dxa"/>
            <w:tcBorders>
              <w:top w:val="nil"/>
              <w:left w:val="nil"/>
              <w:bottom w:val="single" w:sz="4" w:space="0" w:color="auto"/>
              <w:right w:val="single" w:sz="8" w:space="0" w:color="auto"/>
            </w:tcBorders>
            <w:vAlign w:val="center"/>
          </w:tcPr>
          <w:p w:rsidR="00E25AC7" w:rsidRPr="00CE7C96" w:rsidRDefault="00E25AC7" w:rsidP="00CE7C96">
            <w:pPr>
              <w:spacing w:after="0" w:line="240" w:lineRule="auto"/>
              <w:jc w:val="center"/>
              <w:rPr>
                <w:rFonts w:ascii="Arial" w:hAnsi="Arial" w:cs="Arial"/>
                <w:color w:val="000000"/>
                <w:sz w:val="20"/>
                <w:szCs w:val="20"/>
                <w:lang w:eastAsia="pt-BR"/>
              </w:rPr>
            </w:pPr>
            <w:r w:rsidRPr="00CE7C96">
              <w:rPr>
                <w:rFonts w:ascii="Arial" w:hAnsi="Arial" w:cs="Arial"/>
                <w:color w:val="000000"/>
                <w:sz w:val="20"/>
                <w:szCs w:val="20"/>
                <w:lang w:eastAsia="pt-BR"/>
              </w:rPr>
              <w:t>Cumpriu</w:t>
            </w:r>
          </w:p>
        </w:tc>
      </w:tr>
      <w:tr w:rsidR="00E25AC7" w:rsidRPr="008313B9" w:rsidTr="007E3174">
        <w:trPr>
          <w:trHeight w:val="288"/>
          <w:jc w:val="center"/>
        </w:trPr>
        <w:tc>
          <w:tcPr>
            <w:tcW w:w="996" w:type="dxa"/>
            <w:tcBorders>
              <w:top w:val="nil"/>
              <w:left w:val="single" w:sz="8" w:space="0" w:color="auto"/>
              <w:bottom w:val="single" w:sz="4" w:space="0" w:color="auto"/>
              <w:right w:val="single" w:sz="4" w:space="0" w:color="auto"/>
            </w:tcBorders>
            <w:vAlign w:val="center"/>
          </w:tcPr>
          <w:p w:rsidR="00E25AC7" w:rsidRPr="00CE7C96" w:rsidRDefault="00E25AC7" w:rsidP="00CE7C96">
            <w:pPr>
              <w:spacing w:after="0" w:line="240" w:lineRule="auto"/>
              <w:jc w:val="center"/>
              <w:rPr>
                <w:rFonts w:ascii="Arial" w:hAnsi="Arial" w:cs="Arial"/>
                <w:color w:val="000000"/>
                <w:sz w:val="20"/>
                <w:szCs w:val="20"/>
                <w:lang w:eastAsia="pt-BR"/>
              </w:rPr>
            </w:pPr>
            <w:r w:rsidRPr="00CE7C96">
              <w:rPr>
                <w:rFonts w:ascii="Arial" w:hAnsi="Arial" w:cs="Arial"/>
                <w:color w:val="000000"/>
                <w:sz w:val="20"/>
                <w:szCs w:val="20"/>
                <w:lang w:eastAsia="pt-BR"/>
              </w:rPr>
              <w:t>2008</w:t>
            </w:r>
          </w:p>
        </w:tc>
        <w:tc>
          <w:tcPr>
            <w:tcW w:w="2579" w:type="dxa"/>
            <w:tcBorders>
              <w:top w:val="nil"/>
              <w:left w:val="nil"/>
              <w:bottom w:val="single" w:sz="4" w:space="0" w:color="auto"/>
              <w:right w:val="single" w:sz="4" w:space="0" w:color="auto"/>
            </w:tcBorders>
            <w:vAlign w:val="center"/>
          </w:tcPr>
          <w:p w:rsidR="00E25AC7" w:rsidRPr="00CE7C96" w:rsidRDefault="00E25AC7" w:rsidP="00CE7C96">
            <w:pPr>
              <w:spacing w:after="0" w:line="240" w:lineRule="auto"/>
              <w:jc w:val="center"/>
              <w:rPr>
                <w:rFonts w:ascii="Arial" w:hAnsi="Arial" w:cs="Arial"/>
                <w:color w:val="000000"/>
                <w:sz w:val="20"/>
                <w:szCs w:val="20"/>
                <w:lang w:eastAsia="pt-BR"/>
              </w:rPr>
            </w:pPr>
            <w:r w:rsidRPr="00CE7C96">
              <w:rPr>
                <w:rFonts w:ascii="Arial" w:hAnsi="Arial" w:cs="Arial"/>
                <w:color w:val="000000"/>
                <w:sz w:val="20"/>
                <w:szCs w:val="20"/>
                <w:lang w:eastAsia="pt-BR"/>
              </w:rPr>
              <w:t>30.184.203,08</w:t>
            </w:r>
          </w:p>
        </w:tc>
        <w:tc>
          <w:tcPr>
            <w:tcW w:w="1134" w:type="dxa"/>
            <w:tcBorders>
              <w:top w:val="nil"/>
              <w:left w:val="nil"/>
              <w:bottom w:val="single" w:sz="4" w:space="0" w:color="auto"/>
              <w:right w:val="single" w:sz="4" w:space="0" w:color="auto"/>
            </w:tcBorders>
            <w:vAlign w:val="center"/>
          </w:tcPr>
          <w:p w:rsidR="00E25AC7" w:rsidRPr="00CE7C96" w:rsidRDefault="00E25AC7" w:rsidP="00CE7C96">
            <w:pPr>
              <w:spacing w:after="0" w:line="240" w:lineRule="auto"/>
              <w:jc w:val="center"/>
              <w:rPr>
                <w:rFonts w:ascii="Arial" w:hAnsi="Arial" w:cs="Arial"/>
                <w:color w:val="000000"/>
                <w:sz w:val="20"/>
                <w:szCs w:val="20"/>
                <w:lang w:eastAsia="pt-BR"/>
              </w:rPr>
            </w:pPr>
            <w:r w:rsidRPr="00CE7C96">
              <w:rPr>
                <w:rFonts w:ascii="Arial" w:hAnsi="Arial" w:cs="Arial"/>
                <w:color w:val="000000"/>
                <w:sz w:val="20"/>
                <w:szCs w:val="20"/>
                <w:lang w:eastAsia="pt-BR"/>
              </w:rPr>
              <w:t>22,06</w:t>
            </w:r>
          </w:p>
        </w:tc>
        <w:tc>
          <w:tcPr>
            <w:tcW w:w="1691" w:type="dxa"/>
            <w:tcBorders>
              <w:top w:val="nil"/>
              <w:left w:val="nil"/>
              <w:bottom w:val="single" w:sz="4" w:space="0" w:color="auto"/>
              <w:right w:val="single" w:sz="8" w:space="0" w:color="auto"/>
            </w:tcBorders>
            <w:vAlign w:val="center"/>
          </w:tcPr>
          <w:p w:rsidR="00E25AC7" w:rsidRPr="00CE7C96" w:rsidRDefault="00E25AC7" w:rsidP="00CE7C96">
            <w:pPr>
              <w:spacing w:after="0" w:line="240" w:lineRule="auto"/>
              <w:jc w:val="center"/>
              <w:rPr>
                <w:rFonts w:ascii="Arial" w:hAnsi="Arial" w:cs="Arial"/>
                <w:color w:val="000000"/>
                <w:sz w:val="20"/>
                <w:szCs w:val="20"/>
                <w:lang w:eastAsia="pt-BR"/>
              </w:rPr>
            </w:pPr>
            <w:r w:rsidRPr="00CE7C96">
              <w:rPr>
                <w:rFonts w:ascii="Arial" w:hAnsi="Arial" w:cs="Arial"/>
                <w:color w:val="000000"/>
                <w:sz w:val="20"/>
                <w:szCs w:val="20"/>
                <w:lang w:eastAsia="pt-BR"/>
              </w:rPr>
              <w:t>Cumpriu</w:t>
            </w:r>
          </w:p>
        </w:tc>
      </w:tr>
      <w:tr w:rsidR="00E25AC7" w:rsidRPr="008313B9" w:rsidTr="007E3174">
        <w:trPr>
          <w:trHeight w:val="288"/>
          <w:jc w:val="center"/>
        </w:trPr>
        <w:tc>
          <w:tcPr>
            <w:tcW w:w="996" w:type="dxa"/>
            <w:tcBorders>
              <w:top w:val="nil"/>
              <w:left w:val="single" w:sz="8" w:space="0" w:color="auto"/>
              <w:bottom w:val="single" w:sz="4" w:space="0" w:color="auto"/>
              <w:right w:val="single" w:sz="4" w:space="0" w:color="auto"/>
            </w:tcBorders>
            <w:vAlign w:val="center"/>
          </w:tcPr>
          <w:p w:rsidR="00E25AC7" w:rsidRPr="00CE7C96" w:rsidRDefault="00E25AC7" w:rsidP="00CE7C96">
            <w:pPr>
              <w:spacing w:after="0" w:line="240" w:lineRule="auto"/>
              <w:jc w:val="center"/>
              <w:rPr>
                <w:rFonts w:ascii="Arial" w:hAnsi="Arial" w:cs="Arial"/>
                <w:color w:val="000000"/>
                <w:sz w:val="20"/>
                <w:szCs w:val="20"/>
                <w:lang w:eastAsia="pt-BR"/>
              </w:rPr>
            </w:pPr>
            <w:r w:rsidRPr="00CE7C96">
              <w:rPr>
                <w:rFonts w:ascii="Arial" w:hAnsi="Arial" w:cs="Arial"/>
                <w:color w:val="000000"/>
                <w:sz w:val="20"/>
                <w:szCs w:val="20"/>
                <w:lang w:eastAsia="pt-BR"/>
              </w:rPr>
              <w:t>2009</w:t>
            </w:r>
          </w:p>
        </w:tc>
        <w:tc>
          <w:tcPr>
            <w:tcW w:w="2579" w:type="dxa"/>
            <w:tcBorders>
              <w:top w:val="nil"/>
              <w:left w:val="nil"/>
              <w:bottom w:val="single" w:sz="4" w:space="0" w:color="auto"/>
              <w:right w:val="single" w:sz="4" w:space="0" w:color="auto"/>
            </w:tcBorders>
            <w:vAlign w:val="center"/>
          </w:tcPr>
          <w:p w:rsidR="00E25AC7" w:rsidRPr="00CE7C96" w:rsidRDefault="00E25AC7" w:rsidP="00CE7C96">
            <w:pPr>
              <w:spacing w:after="0" w:line="240" w:lineRule="auto"/>
              <w:jc w:val="center"/>
              <w:rPr>
                <w:rFonts w:ascii="Arial" w:hAnsi="Arial" w:cs="Arial"/>
                <w:color w:val="000000"/>
                <w:sz w:val="20"/>
                <w:szCs w:val="20"/>
                <w:lang w:eastAsia="pt-BR"/>
              </w:rPr>
            </w:pPr>
            <w:r w:rsidRPr="00CE7C96">
              <w:rPr>
                <w:rFonts w:ascii="Arial" w:hAnsi="Arial" w:cs="Arial"/>
                <w:color w:val="000000"/>
                <w:sz w:val="20"/>
                <w:szCs w:val="20"/>
                <w:lang w:eastAsia="pt-BR"/>
              </w:rPr>
              <w:t>27.419.124,07</w:t>
            </w:r>
          </w:p>
        </w:tc>
        <w:tc>
          <w:tcPr>
            <w:tcW w:w="1134" w:type="dxa"/>
            <w:tcBorders>
              <w:top w:val="nil"/>
              <w:left w:val="nil"/>
              <w:bottom w:val="single" w:sz="4" w:space="0" w:color="auto"/>
              <w:right w:val="single" w:sz="4" w:space="0" w:color="auto"/>
            </w:tcBorders>
            <w:vAlign w:val="center"/>
          </w:tcPr>
          <w:p w:rsidR="00E25AC7" w:rsidRPr="00CE7C96" w:rsidRDefault="00E25AC7" w:rsidP="00CE7C96">
            <w:pPr>
              <w:spacing w:after="0" w:line="240" w:lineRule="auto"/>
              <w:jc w:val="center"/>
              <w:rPr>
                <w:rFonts w:ascii="Arial" w:hAnsi="Arial" w:cs="Arial"/>
                <w:color w:val="000000"/>
                <w:sz w:val="20"/>
                <w:szCs w:val="20"/>
                <w:lang w:eastAsia="pt-BR"/>
              </w:rPr>
            </w:pPr>
            <w:r w:rsidRPr="00CE7C96">
              <w:rPr>
                <w:rFonts w:ascii="Arial" w:hAnsi="Arial" w:cs="Arial"/>
                <w:color w:val="000000"/>
                <w:sz w:val="20"/>
                <w:szCs w:val="20"/>
                <w:lang w:eastAsia="pt-BR"/>
              </w:rPr>
              <w:t>19,16</w:t>
            </w:r>
          </w:p>
        </w:tc>
        <w:tc>
          <w:tcPr>
            <w:tcW w:w="1691" w:type="dxa"/>
            <w:tcBorders>
              <w:top w:val="nil"/>
              <w:left w:val="nil"/>
              <w:bottom w:val="single" w:sz="4" w:space="0" w:color="auto"/>
              <w:right w:val="single" w:sz="8" w:space="0" w:color="auto"/>
            </w:tcBorders>
            <w:vAlign w:val="center"/>
          </w:tcPr>
          <w:p w:rsidR="00E25AC7" w:rsidRPr="00CE7C96" w:rsidRDefault="00E25AC7" w:rsidP="00CE7C96">
            <w:pPr>
              <w:spacing w:after="0" w:line="240" w:lineRule="auto"/>
              <w:jc w:val="center"/>
              <w:rPr>
                <w:rFonts w:ascii="Arial" w:hAnsi="Arial" w:cs="Arial"/>
                <w:color w:val="000000"/>
                <w:sz w:val="20"/>
                <w:szCs w:val="20"/>
                <w:lang w:eastAsia="pt-BR"/>
              </w:rPr>
            </w:pPr>
            <w:r w:rsidRPr="00CE7C96">
              <w:rPr>
                <w:rFonts w:ascii="Arial" w:hAnsi="Arial" w:cs="Arial"/>
                <w:color w:val="000000"/>
                <w:sz w:val="20"/>
                <w:szCs w:val="20"/>
                <w:lang w:eastAsia="pt-BR"/>
              </w:rPr>
              <w:t>Cumpriu</w:t>
            </w:r>
          </w:p>
        </w:tc>
      </w:tr>
      <w:tr w:rsidR="00E25AC7" w:rsidRPr="008313B9" w:rsidTr="007E3174">
        <w:trPr>
          <w:trHeight w:val="300"/>
          <w:jc w:val="center"/>
        </w:trPr>
        <w:tc>
          <w:tcPr>
            <w:tcW w:w="996" w:type="dxa"/>
            <w:tcBorders>
              <w:top w:val="nil"/>
              <w:left w:val="single" w:sz="8" w:space="0" w:color="auto"/>
              <w:bottom w:val="single" w:sz="8" w:space="0" w:color="auto"/>
              <w:right w:val="single" w:sz="4" w:space="0" w:color="auto"/>
            </w:tcBorders>
            <w:vAlign w:val="center"/>
          </w:tcPr>
          <w:p w:rsidR="00E25AC7" w:rsidRPr="00CE7C96" w:rsidRDefault="00E25AC7" w:rsidP="00CE7C96">
            <w:pPr>
              <w:spacing w:after="0" w:line="240" w:lineRule="auto"/>
              <w:jc w:val="center"/>
              <w:rPr>
                <w:rFonts w:ascii="Arial" w:hAnsi="Arial" w:cs="Arial"/>
                <w:color w:val="000000"/>
                <w:sz w:val="20"/>
                <w:szCs w:val="20"/>
                <w:lang w:eastAsia="pt-BR"/>
              </w:rPr>
            </w:pPr>
            <w:r w:rsidRPr="00CE7C96">
              <w:rPr>
                <w:rFonts w:ascii="Arial" w:hAnsi="Arial" w:cs="Arial"/>
                <w:color w:val="000000"/>
                <w:sz w:val="20"/>
                <w:szCs w:val="20"/>
                <w:lang w:eastAsia="pt-BR"/>
              </w:rPr>
              <w:t>2010</w:t>
            </w:r>
          </w:p>
        </w:tc>
        <w:tc>
          <w:tcPr>
            <w:tcW w:w="2579" w:type="dxa"/>
            <w:tcBorders>
              <w:top w:val="nil"/>
              <w:left w:val="nil"/>
              <w:bottom w:val="single" w:sz="8" w:space="0" w:color="auto"/>
              <w:right w:val="single" w:sz="4" w:space="0" w:color="auto"/>
            </w:tcBorders>
            <w:vAlign w:val="center"/>
          </w:tcPr>
          <w:p w:rsidR="00E25AC7" w:rsidRPr="00CE7C96" w:rsidRDefault="00E25AC7" w:rsidP="00CE7C96">
            <w:pPr>
              <w:spacing w:after="0" w:line="240" w:lineRule="auto"/>
              <w:jc w:val="center"/>
              <w:rPr>
                <w:rFonts w:ascii="Arial" w:hAnsi="Arial" w:cs="Arial"/>
                <w:color w:val="000000"/>
                <w:sz w:val="20"/>
                <w:szCs w:val="20"/>
                <w:lang w:eastAsia="pt-BR"/>
              </w:rPr>
            </w:pPr>
            <w:r w:rsidRPr="00CE7C96">
              <w:rPr>
                <w:rFonts w:ascii="Arial" w:hAnsi="Arial" w:cs="Arial"/>
                <w:color w:val="000000"/>
                <w:sz w:val="20"/>
                <w:szCs w:val="20"/>
                <w:lang w:eastAsia="pt-BR"/>
              </w:rPr>
              <w:t>36.049.266,81</w:t>
            </w:r>
          </w:p>
        </w:tc>
        <w:tc>
          <w:tcPr>
            <w:tcW w:w="1134" w:type="dxa"/>
            <w:tcBorders>
              <w:top w:val="nil"/>
              <w:left w:val="nil"/>
              <w:bottom w:val="single" w:sz="8" w:space="0" w:color="auto"/>
              <w:right w:val="single" w:sz="4" w:space="0" w:color="auto"/>
            </w:tcBorders>
            <w:vAlign w:val="center"/>
          </w:tcPr>
          <w:p w:rsidR="00E25AC7" w:rsidRPr="00CE7C96" w:rsidRDefault="00E25AC7" w:rsidP="00CE7C96">
            <w:pPr>
              <w:spacing w:after="0" w:line="240" w:lineRule="auto"/>
              <w:jc w:val="center"/>
              <w:rPr>
                <w:rFonts w:ascii="Arial" w:hAnsi="Arial" w:cs="Arial"/>
                <w:color w:val="000000"/>
                <w:sz w:val="20"/>
                <w:szCs w:val="20"/>
                <w:lang w:eastAsia="pt-BR"/>
              </w:rPr>
            </w:pPr>
            <w:r w:rsidRPr="00CE7C96">
              <w:rPr>
                <w:rFonts w:ascii="Arial" w:hAnsi="Arial" w:cs="Arial"/>
                <w:color w:val="000000"/>
                <w:sz w:val="20"/>
                <w:szCs w:val="20"/>
                <w:lang w:eastAsia="pt-BR"/>
              </w:rPr>
              <w:t>21,2</w:t>
            </w:r>
          </w:p>
        </w:tc>
        <w:tc>
          <w:tcPr>
            <w:tcW w:w="1691" w:type="dxa"/>
            <w:tcBorders>
              <w:top w:val="nil"/>
              <w:left w:val="nil"/>
              <w:bottom w:val="single" w:sz="8" w:space="0" w:color="auto"/>
              <w:right w:val="single" w:sz="8" w:space="0" w:color="auto"/>
            </w:tcBorders>
            <w:vAlign w:val="center"/>
          </w:tcPr>
          <w:p w:rsidR="00E25AC7" w:rsidRPr="00CE7C96" w:rsidRDefault="00E25AC7" w:rsidP="00CE7C96">
            <w:pPr>
              <w:spacing w:after="0" w:line="240" w:lineRule="auto"/>
              <w:jc w:val="center"/>
              <w:rPr>
                <w:rFonts w:ascii="Arial" w:hAnsi="Arial" w:cs="Arial"/>
                <w:color w:val="000000"/>
                <w:sz w:val="20"/>
                <w:szCs w:val="20"/>
                <w:lang w:eastAsia="pt-BR"/>
              </w:rPr>
            </w:pPr>
            <w:r w:rsidRPr="00CE7C96">
              <w:rPr>
                <w:rFonts w:ascii="Arial" w:hAnsi="Arial" w:cs="Arial"/>
                <w:color w:val="000000"/>
                <w:sz w:val="20"/>
                <w:szCs w:val="20"/>
                <w:lang w:eastAsia="pt-BR"/>
              </w:rPr>
              <w:t>Cumpriu</w:t>
            </w:r>
          </w:p>
        </w:tc>
      </w:tr>
    </w:tbl>
    <w:p w:rsidR="00E25AC7" w:rsidRPr="00D677DF" w:rsidRDefault="00E25AC7" w:rsidP="007E3174">
      <w:pPr>
        <w:spacing w:after="0" w:line="360" w:lineRule="auto"/>
        <w:jc w:val="center"/>
        <w:rPr>
          <w:rFonts w:ascii="Arial" w:hAnsi="Arial" w:cs="Arial"/>
          <w:sz w:val="20"/>
          <w:szCs w:val="20"/>
          <w:lang w:eastAsia="pt-BR"/>
        </w:rPr>
      </w:pPr>
      <w:r w:rsidRPr="00D677DF">
        <w:rPr>
          <w:rFonts w:ascii="Arial" w:hAnsi="Arial" w:cs="Arial"/>
          <w:sz w:val="20"/>
          <w:szCs w:val="20"/>
          <w:lang w:eastAsia="pt-BR"/>
        </w:rPr>
        <w:t>Fonte: elaborado pelos autores com base em TCE/SC, SIOPS (2012).</w:t>
      </w:r>
    </w:p>
    <w:p w:rsidR="00E25AC7" w:rsidRPr="00E64976" w:rsidRDefault="00E25AC7" w:rsidP="00DE4A7C">
      <w:pPr>
        <w:spacing w:after="0" w:line="360" w:lineRule="auto"/>
        <w:rPr>
          <w:rFonts w:ascii="Arial" w:hAnsi="Arial" w:cs="Arial"/>
          <w:sz w:val="24"/>
          <w:szCs w:val="24"/>
          <w:lang w:eastAsia="pt-BR"/>
        </w:rPr>
      </w:pPr>
    </w:p>
    <w:p w:rsidR="00E25AC7" w:rsidRDefault="00E25AC7" w:rsidP="00FF74B1">
      <w:pPr>
        <w:spacing w:after="0" w:line="360" w:lineRule="auto"/>
        <w:ind w:firstLine="720"/>
        <w:jc w:val="both"/>
        <w:rPr>
          <w:rFonts w:ascii="Arial" w:hAnsi="Arial" w:cs="Arial"/>
          <w:sz w:val="24"/>
          <w:szCs w:val="24"/>
          <w:lang w:eastAsia="pt-BR"/>
        </w:rPr>
      </w:pPr>
      <w:r w:rsidRPr="00FF74B1">
        <w:rPr>
          <w:rFonts w:ascii="Arial" w:hAnsi="Arial" w:cs="Arial"/>
          <w:sz w:val="24"/>
          <w:szCs w:val="24"/>
          <w:lang w:eastAsia="pt-BR"/>
        </w:rPr>
        <w:t xml:space="preserve">Observa-se que a aplicação de recursos na cidade de Balneário Camboriú, manteve-se estável no período de mensuração dos dados, sendo verificado um acréscimo no período de 2007 e 2008, </w:t>
      </w:r>
      <w:r>
        <w:rPr>
          <w:rFonts w:ascii="Arial" w:hAnsi="Arial" w:cs="Arial"/>
          <w:sz w:val="24"/>
          <w:szCs w:val="24"/>
          <w:lang w:eastAsia="pt-BR"/>
        </w:rPr>
        <w:t>sendo que é pauta de es</w:t>
      </w:r>
      <w:r w:rsidRPr="00FF74B1">
        <w:rPr>
          <w:rFonts w:ascii="Arial" w:hAnsi="Arial" w:cs="Arial"/>
          <w:sz w:val="24"/>
          <w:szCs w:val="24"/>
          <w:lang w:eastAsia="pt-BR"/>
        </w:rPr>
        <w:t xml:space="preserve">tudo </w:t>
      </w:r>
      <w:r>
        <w:rPr>
          <w:rFonts w:ascii="Arial" w:hAnsi="Arial" w:cs="Arial"/>
          <w:sz w:val="24"/>
          <w:szCs w:val="24"/>
          <w:lang w:eastAsia="pt-BR"/>
        </w:rPr>
        <w:t xml:space="preserve">do Projeto Bússola para 2012 identificar as causas das variações destes anos, bem como dos anos de 2006 e 2009 que tiveram as menores aplicações. São situações a serem pesquisadas: Do </w:t>
      </w:r>
      <w:proofErr w:type="spellStart"/>
      <w:r>
        <w:rPr>
          <w:rFonts w:ascii="Arial" w:hAnsi="Arial" w:cs="Arial"/>
          <w:sz w:val="24"/>
          <w:szCs w:val="24"/>
          <w:lang w:eastAsia="pt-BR"/>
        </w:rPr>
        <w:t>perífio</w:t>
      </w:r>
      <w:proofErr w:type="spellEnd"/>
      <w:r>
        <w:rPr>
          <w:rFonts w:ascii="Arial" w:hAnsi="Arial" w:cs="Arial"/>
          <w:sz w:val="24"/>
          <w:szCs w:val="24"/>
          <w:lang w:eastAsia="pt-BR"/>
        </w:rPr>
        <w:t xml:space="preserve"> de 2006 para 2007, embora o acréscimo em valor absoluto tenha sido aproximadamente de 50%, a aplicação percentual do cresceu apenas 22%. No caso da aplicação de 2008 para 2009, a aplicação em valores absolutos </w:t>
      </w:r>
      <w:r>
        <w:rPr>
          <w:rFonts w:ascii="Arial" w:hAnsi="Arial" w:cs="Arial"/>
          <w:sz w:val="24"/>
          <w:szCs w:val="24"/>
          <w:lang w:eastAsia="pt-BR"/>
        </w:rPr>
        <w:lastRenderedPageBreak/>
        <w:t>reduziu-se em aproximadamente 9%, porém, a queda do percentual aplicado foi de 13%.</w:t>
      </w:r>
    </w:p>
    <w:p w:rsidR="00E25AC7" w:rsidRDefault="00E25AC7" w:rsidP="00FF74B1">
      <w:pPr>
        <w:spacing w:after="0" w:line="360" w:lineRule="auto"/>
        <w:ind w:firstLine="720"/>
        <w:jc w:val="both"/>
        <w:rPr>
          <w:rFonts w:ascii="Arial" w:hAnsi="Arial" w:cs="Arial"/>
          <w:sz w:val="24"/>
          <w:szCs w:val="24"/>
          <w:lang w:eastAsia="pt-BR"/>
        </w:rPr>
      </w:pPr>
      <w:r>
        <w:rPr>
          <w:rFonts w:ascii="Arial" w:hAnsi="Arial" w:cs="Arial"/>
          <w:sz w:val="24"/>
          <w:szCs w:val="24"/>
          <w:lang w:eastAsia="pt-BR"/>
        </w:rPr>
        <w:t>No quadro 4 pode ser observado o cumprimento do mínimo constitucional para o município de Itapema.</w:t>
      </w:r>
    </w:p>
    <w:p w:rsidR="00E25AC7" w:rsidRPr="00FF74B1" w:rsidRDefault="00E25AC7" w:rsidP="00F9643C">
      <w:pPr>
        <w:spacing w:after="0" w:line="240" w:lineRule="auto"/>
        <w:ind w:firstLine="720"/>
        <w:jc w:val="both"/>
        <w:rPr>
          <w:rFonts w:ascii="Arial" w:hAnsi="Arial" w:cs="Arial"/>
          <w:sz w:val="24"/>
          <w:szCs w:val="24"/>
          <w:lang w:eastAsia="pt-BR"/>
        </w:rPr>
      </w:pPr>
    </w:p>
    <w:p w:rsidR="00E25AC7" w:rsidRPr="001C741E" w:rsidRDefault="00E25AC7" w:rsidP="00F9643C">
      <w:pPr>
        <w:spacing w:after="0" w:line="240" w:lineRule="auto"/>
        <w:ind w:firstLine="700"/>
        <w:jc w:val="center"/>
        <w:rPr>
          <w:rFonts w:ascii="Arial" w:hAnsi="Arial" w:cs="Arial"/>
          <w:b/>
          <w:sz w:val="24"/>
          <w:szCs w:val="24"/>
          <w:lang w:eastAsia="pt-BR"/>
        </w:rPr>
      </w:pPr>
      <w:r w:rsidRPr="00452ADD">
        <w:rPr>
          <w:rFonts w:ascii="Arial" w:hAnsi="Arial" w:cs="Arial"/>
          <w:b/>
          <w:bCs/>
          <w:sz w:val="24"/>
          <w:szCs w:val="24"/>
          <w:lang w:eastAsia="pt-BR"/>
        </w:rPr>
        <w:t xml:space="preserve">Quadro </w:t>
      </w:r>
      <w:r>
        <w:rPr>
          <w:rFonts w:ascii="Arial" w:hAnsi="Arial" w:cs="Arial"/>
          <w:b/>
          <w:bCs/>
          <w:sz w:val="24"/>
          <w:szCs w:val="24"/>
          <w:lang w:eastAsia="pt-BR"/>
        </w:rPr>
        <w:t>4 -</w:t>
      </w:r>
      <w:r w:rsidRPr="00452ADD">
        <w:rPr>
          <w:rFonts w:ascii="Arial" w:hAnsi="Arial" w:cs="Arial"/>
          <w:sz w:val="24"/>
          <w:szCs w:val="24"/>
          <w:lang w:eastAsia="pt-BR"/>
        </w:rPr>
        <w:t xml:space="preserve"> </w:t>
      </w:r>
      <w:r w:rsidRPr="001C741E">
        <w:rPr>
          <w:rFonts w:ascii="Arial" w:hAnsi="Arial" w:cs="Arial"/>
          <w:b/>
          <w:sz w:val="24"/>
          <w:szCs w:val="24"/>
          <w:lang w:eastAsia="pt-BR"/>
        </w:rPr>
        <w:t>Percentual dos recursos próprios aplicados em saúde em Itapema (2004 a 2010)</w:t>
      </w:r>
    </w:p>
    <w:p w:rsidR="00E25AC7" w:rsidRPr="00452ADD" w:rsidRDefault="00E25AC7" w:rsidP="00F9643C">
      <w:pPr>
        <w:spacing w:after="0" w:line="240" w:lineRule="auto"/>
        <w:ind w:firstLine="700"/>
        <w:jc w:val="center"/>
        <w:rPr>
          <w:rFonts w:ascii="Arial" w:hAnsi="Arial" w:cs="Arial"/>
          <w:sz w:val="24"/>
          <w:szCs w:val="24"/>
          <w:lang w:eastAsia="pt-BR"/>
        </w:rPr>
      </w:pPr>
    </w:p>
    <w:tbl>
      <w:tblPr>
        <w:tblW w:w="6080" w:type="dxa"/>
        <w:jc w:val="center"/>
        <w:tblInd w:w="55" w:type="dxa"/>
        <w:tblCellMar>
          <w:left w:w="70" w:type="dxa"/>
          <w:right w:w="70" w:type="dxa"/>
        </w:tblCellMar>
        <w:tblLook w:val="00A0" w:firstRow="1" w:lastRow="0" w:firstColumn="1" w:lastColumn="0" w:noHBand="0" w:noVBand="0"/>
      </w:tblPr>
      <w:tblGrid>
        <w:gridCol w:w="996"/>
        <w:gridCol w:w="2520"/>
        <w:gridCol w:w="1124"/>
        <w:gridCol w:w="1440"/>
      </w:tblGrid>
      <w:tr w:rsidR="00E25AC7" w:rsidRPr="008313B9" w:rsidTr="007E3174">
        <w:trPr>
          <w:trHeight w:val="540"/>
          <w:jc w:val="center"/>
        </w:trPr>
        <w:tc>
          <w:tcPr>
            <w:tcW w:w="996" w:type="dxa"/>
            <w:tcBorders>
              <w:top w:val="single" w:sz="8" w:space="0" w:color="auto"/>
              <w:left w:val="single" w:sz="8" w:space="0" w:color="auto"/>
              <w:bottom w:val="single" w:sz="8" w:space="0" w:color="auto"/>
              <w:right w:val="single" w:sz="4" w:space="0" w:color="auto"/>
            </w:tcBorders>
            <w:shd w:val="clear" w:color="000000" w:fill="C4BD97"/>
            <w:vAlign w:val="center"/>
          </w:tcPr>
          <w:p w:rsidR="00E25AC7" w:rsidRPr="00EA217B" w:rsidRDefault="00E25AC7" w:rsidP="00EA217B">
            <w:pPr>
              <w:spacing w:after="0" w:line="240" w:lineRule="auto"/>
              <w:jc w:val="center"/>
              <w:rPr>
                <w:rFonts w:ascii="Arial" w:hAnsi="Arial" w:cs="Arial"/>
                <w:b/>
                <w:bCs/>
                <w:color w:val="000000"/>
                <w:sz w:val="20"/>
                <w:szCs w:val="20"/>
                <w:lang w:eastAsia="pt-BR"/>
              </w:rPr>
            </w:pPr>
            <w:r w:rsidRPr="00EA217B">
              <w:rPr>
                <w:rFonts w:ascii="Arial" w:hAnsi="Arial" w:cs="Arial"/>
                <w:b/>
                <w:bCs/>
                <w:color w:val="000000"/>
                <w:sz w:val="20"/>
                <w:szCs w:val="20"/>
                <w:lang w:eastAsia="pt-BR"/>
              </w:rPr>
              <w:t>Períodos</w:t>
            </w:r>
          </w:p>
        </w:tc>
        <w:tc>
          <w:tcPr>
            <w:tcW w:w="2520" w:type="dxa"/>
            <w:tcBorders>
              <w:top w:val="single" w:sz="8" w:space="0" w:color="auto"/>
              <w:left w:val="nil"/>
              <w:bottom w:val="single" w:sz="8" w:space="0" w:color="auto"/>
              <w:right w:val="single" w:sz="4" w:space="0" w:color="auto"/>
            </w:tcBorders>
            <w:shd w:val="clear" w:color="000000" w:fill="C4BD97"/>
            <w:vAlign w:val="center"/>
          </w:tcPr>
          <w:p w:rsidR="00E25AC7" w:rsidRPr="00EA217B" w:rsidRDefault="00E25AC7" w:rsidP="00EA217B">
            <w:pPr>
              <w:spacing w:after="0" w:line="240" w:lineRule="auto"/>
              <w:jc w:val="center"/>
              <w:rPr>
                <w:rFonts w:ascii="Arial" w:hAnsi="Arial" w:cs="Arial"/>
                <w:b/>
                <w:bCs/>
                <w:color w:val="000000"/>
                <w:sz w:val="20"/>
                <w:szCs w:val="20"/>
                <w:lang w:eastAsia="pt-BR"/>
              </w:rPr>
            </w:pPr>
            <w:r w:rsidRPr="00EA217B">
              <w:rPr>
                <w:rFonts w:ascii="Arial" w:hAnsi="Arial" w:cs="Arial"/>
                <w:b/>
                <w:bCs/>
                <w:color w:val="000000"/>
                <w:sz w:val="20"/>
                <w:szCs w:val="20"/>
                <w:lang w:eastAsia="pt-BR"/>
              </w:rPr>
              <w:t>Despesas com saúde para efeito de Cálculo</w:t>
            </w:r>
          </w:p>
        </w:tc>
        <w:tc>
          <w:tcPr>
            <w:tcW w:w="1124" w:type="dxa"/>
            <w:tcBorders>
              <w:top w:val="single" w:sz="8" w:space="0" w:color="auto"/>
              <w:left w:val="nil"/>
              <w:bottom w:val="single" w:sz="8" w:space="0" w:color="auto"/>
              <w:right w:val="single" w:sz="4" w:space="0" w:color="auto"/>
            </w:tcBorders>
            <w:shd w:val="clear" w:color="000000" w:fill="C4BD97"/>
            <w:vAlign w:val="center"/>
          </w:tcPr>
          <w:p w:rsidR="00E25AC7" w:rsidRPr="00EA217B" w:rsidRDefault="00E25AC7" w:rsidP="00EA217B">
            <w:pPr>
              <w:spacing w:after="0" w:line="240" w:lineRule="auto"/>
              <w:jc w:val="center"/>
              <w:rPr>
                <w:rFonts w:ascii="Arial" w:hAnsi="Arial" w:cs="Arial"/>
                <w:b/>
                <w:bCs/>
                <w:color w:val="000000"/>
                <w:sz w:val="20"/>
                <w:szCs w:val="20"/>
                <w:lang w:eastAsia="pt-BR"/>
              </w:rPr>
            </w:pPr>
            <w:r w:rsidRPr="00EA217B">
              <w:rPr>
                <w:rFonts w:ascii="Arial" w:hAnsi="Arial" w:cs="Arial"/>
                <w:b/>
                <w:bCs/>
                <w:color w:val="000000"/>
                <w:sz w:val="20"/>
                <w:szCs w:val="20"/>
                <w:lang w:eastAsia="pt-BR"/>
              </w:rPr>
              <w:t>% aplicado</w:t>
            </w:r>
          </w:p>
        </w:tc>
        <w:tc>
          <w:tcPr>
            <w:tcW w:w="1440" w:type="dxa"/>
            <w:tcBorders>
              <w:top w:val="single" w:sz="8" w:space="0" w:color="auto"/>
              <w:left w:val="nil"/>
              <w:bottom w:val="single" w:sz="8" w:space="0" w:color="auto"/>
              <w:right w:val="single" w:sz="8" w:space="0" w:color="auto"/>
            </w:tcBorders>
            <w:shd w:val="clear" w:color="000000" w:fill="C4BD97"/>
            <w:vAlign w:val="center"/>
          </w:tcPr>
          <w:p w:rsidR="00E25AC7" w:rsidRPr="00EA217B" w:rsidRDefault="00E25AC7" w:rsidP="00EA217B">
            <w:pPr>
              <w:spacing w:after="0" w:line="240" w:lineRule="auto"/>
              <w:jc w:val="center"/>
              <w:rPr>
                <w:rFonts w:ascii="Arial" w:hAnsi="Arial" w:cs="Arial"/>
                <w:b/>
                <w:bCs/>
                <w:color w:val="000000"/>
                <w:sz w:val="20"/>
                <w:szCs w:val="20"/>
                <w:lang w:eastAsia="pt-BR"/>
              </w:rPr>
            </w:pPr>
            <w:r w:rsidRPr="00EA217B">
              <w:rPr>
                <w:rFonts w:ascii="Arial" w:hAnsi="Arial" w:cs="Arial"/>
                <w:b/>
                <w:bCs/>
                <w:color w:val="000000"/>
                <w:sz w:val="20"/>
                <w:szCs w:val="20"/>
                <w:lang w:eastAsia="pt-BR"/>
              </w:rPr>
              <w:t xml:space="preserve">Cumprimento </w:t>
            </w:r>
          </w:p>
        </w:tc>
      </w:tr>
      <w:tr w:rsidR="00E25AC7" w:rsidRPr="008313B9" w:rsidTr="007E3174">
        <w:trPr>
          <w:trHeight w:val="288"/>
          <w:jc w:val="center"/>
        </w:trPr>
        <w:tc>
          <w:tcPr>
            <w:tcW w:w="996" w:type="dxa"/>
            <w:tcBorders>
              <w:top w:val="nil"/>
              <w:left w:val="single" w:sz="8" w:space="0" w:color="auto"/>
              <w:bottom w:val="single" w:sz="4" w:space="0" w:color="auto"/>
              <w:right w:val="single" w:sz="4" w:space="0" w:color="auto"/>
            </w:tcBorders>
            <w:vAlign w:val="center"/>
          </w:tcPr>
          <w:p w:rsidR="00E25AC7" w:rsidRPr="00EA217B" w:rsidRDefault="00E25AC7" w:rsidP="00EA217B">
            <w:pPr>
              <w:spacing w:after="0" w:line="240" w:lineRule="auto"/>
              <w:jc w:val="center"/>
              <w:rPr>
                <w:rFonts w:ascii="Arial" w:hAnsi="Arial" w:cs="Arial"/>
                <w:color w:val="000000"/>
                <w:sz w:val="20"/>
                <w:szCs w:val="20"/>
                <w:lang w:eastAsia="pt-BR"/>
              </w:rPr>
            </w:pPr>
            <w:r w:rsidRPr="00EA217B">
              <w:rPr>
                <w:rFonts w:ascii="Arial" w:hAnsi="Arial" w:cs="Arial"/>
                <w:color w:val="000000"/>
                <w:sz w:val="20"/>
                <w:szCs w:val="20"/>
                <w:lang w:eastAsia="pt-BR"/>
              </w:rPr>
              <w:t>2004</w:t>
            </w:r>
          </w:p>
        </w:tc>
        <w:tc>
          <w:tcPr>
            <w:tcW w:w="2520" w:type="dxa"/>
            <w:tcBorders>
              <w:top w:val="nil"/>
              <w:left w:val="nil"/>
              <w:bottom w:val="single" w:sz="4" w:space="0" w:color="auto"/>
              <w:right w:val="single" w:sz="4" w:space="0" w:color="auto"/>
            </w:tcBorders>
            <w:vAlign w:val="center"/>
          </w:tcPr>
          <w:p w:rsidR="00E25AC7" w:rsidRPr="00EA217B" w:rsidRDefault="00E25AC7" w:rsidP="00EA217B">
            <w:pPr>
              <w:spacing w:after="0" w:line="240" w:lineRule="auto"/>
              <w:jc w:val="center"/>
              <w:rPr>
                <w:rFonts w:ascii="Arial" w:hAnsi="Arial" w:cs="Arial"/>
                <w:color w:val="000000"/>
                <w:sz w:val="20"/>
                <w:szCs w:val="20"/>
                <w:lang w:eastAsia="pt-BR"/>
              </w:rPr>
            </w:pPr>
            <w:r w:rsidRPr="00EA217B">
              <w:rPr>
                <w:rFonts w:ascii="Arial" w:hAnsi="Arial" w:cs="Arial"/>
                <w:color w:val="000000"/>
                <w:sz w:val="20"/>
                <w:szCs w:val="20"/>
                <w:lang w:eastAsia="pt-BR"/>
              </w:rPr>
              <w:t>3.439.076,29</w:t>
            </w:r>
          </w:p>
        </w:tc>
        <w:tc>
          <w:tcPr>
            <w:tcW w:w="1124" w:type="dxa"/>
            <w:tcBorders>
              <w:top w:val="nil"/>
              <w:left w:val="nil"/>
              <w:bottom w:val="single" w:sz="4" w:space="0" w:color="auto"/>
              <w:right w:val="single" w:sz="4" w:space="0" w:color="auto"/>
            </w:tcBorders>
            <w:vAlign w:val="center"/>
          </w:tcPr>
          <w:p w:rsidR="00E25AC7" w:rsidRPr="00EA217B" w:rsidRDefault="00E25AC7" w:rsidP="00EA217B">
            <w:pPr>
              <w:spacing w:after="0" w:line="240" w:lineRule="auto"/>
              <w:jc w:val="center"/>
              <w:rPr>
                <w:rFonts w:ascii="Arial" w:hAnsi="Arial" w:cs="Arial"/>
                <w:color w:val="000000"/>
                <w:sz w:val="20"/>
                <w:szCs w:val="20"/>
                <w:lang w:eastAsia="pt-BR"/>
              </w:rPr>
            </w:pPr>
            <w:r w:rsidRPr="00EA217B">
              <w:rPr>
                <w:rFonts w:ascii="Arial" w:hAnsi="Arial" w:cs="Arial"/>
                <w:color w:val="000000"/>
                <w:sz w:val="20"/>
                <w:szCs w:val="20"/>
                <w:lang w:eastAsia="pt-BR"/>
              </w:rPr>
              <w:t>16,71</w:t>
            </w:r>
          </w:p>
        </w:tc>
        <w:tc>
          <w:tcPr>
            <w:tcW w:w="1440" w:type="dxa"/>
            <w:tcBorders>
              <w:top w:val="nil"/>
              <w:left w:val="nil"/>
              <w:bottom w:val="single" w:sz="4" w:space="0" w:color="auto"/>
              <w:right w:val="single" w:sz="8" w:space="0" w:color="auto"/>
            </w:tcBorders>
            <w:vAlign w:val="center"/>
          </w:tcPr>
          <w:p w:rsidR="00E25AC7" w:rsidRPr="00EA217B" w:rsidRDefault="00E25AC7" w:rsidP="00EA217B">
            <w:pPr>
              <w:spacing w:after="0" w:line="240" w:lineRule="auto"/>
              <w:jc w:val="center"/>
              <w:rPr>
                <w:rFonts w:ascii="Arial" w:hAnsi="Arial" w:cs="Arial"/>
                <w:color w:val="000000"/>
                <w:sz w:val="20"/>
                <w:szCs w:val="20"/>
                <w:lang w:eastAsia="pt-BR"/>
              </w:rPr>
            </w:pPr>
            <w:r w:rsidRPr="00EA217B">
              <w:rPr>
                <w:rFonts w:ascii="Arial" w:hAnsi="Arial" w:cs="Arial"/>
                <w:color w:val="000000"/>
                <w:sz w:val="20"/>
                <w:szCs w:val="20"/>
                <w:lang w:eastAsia="pt-BR"/>
              </w:rPr>
              <w:t>Cumpriu</w:t>
            </w:r>
          </w:p>
        </w:tc>
      </w:tr>
      <w:tr w:rsidR="00E25AC7" w:rsidRPr="008313B9" w:rsidTr="007E3174">
        <w:trPr>
          <w:trHeight w:val="288"/>
          <w:jc w:val="center"/>
        </w:trPr>
        <w:tc>
          <w:tcPr>
            <w:tcW w:w="996" w:type="dxa"/>
            <w:tcBorders>
              <w:top w:val="nil"/>
              <w:left w:val="single" w:sz="8" w:space="0" w:color="auto"/>
              <w:bottom w:val="single" w:sz="4" w:space="0" w:color="auto"/>
              <w:right w:val="single" w:sz="4" w:space="0" w:color="auto"/>
            </w:tcBorders>
            <w:vAlign w:val="center"/>
          </w:tcPr>
          <w:p w:rsidR="00E25AC7" w:rsidRPr="00EA217B" w:rsidRDefault="00E25AC7" w:rsidP="00EA217B">
            <w:pPr>
              <w:spacing w:after="0" w:line="240" w:lineRule="auto"/>
              <w:jc w:val="center"/>
              <w:rPr>
                <w:rFonts w:ascii="Arial" w:hAnsi="Arial" w:cs="Arial"/>
                <w:color w:val="000000"/>
                <w:sz w:val="20"/>
                <w:szCs w:val="20"/>
                <w:lang w:eastAsia="pt-BR"/>
              </w:rPr>
            </w:pPr>
            <w:r w:rsidRPr="00EA217B">
              <w:rPr>
                <w:rFonts w:ascii="Arial" w:hAnsi="Arial" w:cs="Arial"/>
                <w:color w:val="000000"/>
                <w:sz w:val="20"/>
                <w:szCs w:val="20"/>
                <w:lang w:eastAsia="pt-BR"/>
              </w:rPr>
              <w:t>2005</w:t>
            </w:r>
          </w:p>
        </w:tc>
        <w:tc>
          <w:tcPr>
            <w:tcW w:w="2520" w:type="dxa"/>
            <w:tcBorders>
              <w:top w:val="nil"/>
              <w:left w:val="nil"/>
              <w:bottom w:val="single" w:sz="4" w:space="0" w:color="auto"/>
              <w:right w:val="single" w:sz="4" w:space="0" w:color="auto"/>
            </w:tcBorders>
            <w:vAlign w:val="center"/>
          </w:tcPr>
          <w:p w:rsidR="00E25AC7" w:rsidRPr="00EA217B" w:rsidRDefault="00E25AC7" w:rsidP="00EA217B">
            <w:pPr>
              <w:spacing w:after="0" w:line="240" w:lineRule="auto"/>
              <w:jc w:val="center"/>
              <w:rPr>
                <w:rFonts w:ascii="Arial" w:hAnsi="Arial" w:cs="Arial"/>
                <w:color w:val="000000"/>
                <w:sz w:val="20"/>
                <w:szCs w:val="20"/>
                <w:lang w:eastAsia="pt-BR"/>
              </w:rPr>
            </w:pPr>
            <w:r w:rsidRPr="00EA217B">
              <w:rPr>
                <w:rFonts w:ascii="Arial" w:hAnsi="Arial" w:cs="Arial"/>
                <w:color w:val="000000"/>
                <w:sz w:val="20"/>
                <w:szCs w:val="20"/>
                <w:lang w:eastAsia="pt-BR"/>
              </w:rPr>
              <w:t>4.029.696,62</w:t>
            </w:r>
          </w:p>
        </w:tc>
        <w:tc>
          <w:tcPr>
            <w:tcW w:w="1124" w:type="dxa"/>
            <w:tcBorders>
              <w:top w:val="nil"/>
              <w:left w:val="nil"/>
              <w:bottom w:val="single" w:sz="4" w:space="0" w:color="auto"/>
              <w:right w:val="single" w:sz="4" w:space="0" w:color="auto"/>
            </w:tcBorders>
            <w:vAlign w:val="center"/>
          </w:tcPr>
          <w:p w:rsidR="00E25AC7" w:rsidRPr="00EA217B" w:rsidRDefault="00E25AC7" w:rsidP="00EA217B">
            <w:pPr>
              <w:spacing w:after="0" w:line="240" w:lineRule="auto"/>
              <w:jc w:val="center"/>
              <w:rPr>
                <w:rFonts w:ascii="Arial" w:hAnsi="Arial" w:cs="Arial"/>
                <w:color w:val="000000"/>
                <w:sz w:val="20"/>
                <w:szCs w:val="20"/>
                <w:lang w:eastAsia="pt-BR"/>
              </w:rPr>
            </w:pPr>
            <w:r w:rsidRPr="00EA217B">
              <w:rPr>
                <w:rFonts w:ascii="Arial" w:hAnsi="Arial" w:cs="Arial"/>
                <w:color w:val="000000"/>
                <w:sz w:val="20"/>
                <w:szCs w:val="20"/>
                <w:lang w:eastAsia="pt-BR"/>
              </w:rPr>
              <w:t>17,37</w:t>
            </w:r>
          </w:p>
        </w:tc>
        <w:tc>
          <w:tcPr>
            <w:tcW w:w="1440" w:type="dxa"/>
            <w:tcBorders>
              <w:top w:val="nil"/>
              <w:left w:val="nil"/>
              <w:bottom w:val="single" w:sz="4" w:space="0" w:color="auto"/>
              <w:right w:val="single" w:sz="8" w:space="0" w:color="auto"/>
            </w:tcBorders>
            <w:vAlign w:val="center"/>
          </w:tcPr>
          <w:p w:rsidR="00E25AC7" w:rsidRPr="00EA217B" w:rsidRDefault="00E25AC7" w:rsidP="00EA217B">
            <w:pPr>
              <w:spacing w:after="0" w:line="240" w:lineRule="auto"/>
              <w:jc w:val="center"/>
              <w:rPr>
                <w:rFonts w:ascii="Arial" w:hAnsi="Arial" w:cs="Arial"/>
                <w:color w:val="000000"/>
                <w:sz w:val="20"/>
                <w:szCs w:val="20"/>
                <w:lang w:eastAsia="pt-BR"/>
              </w:rPr>
            </w:pPr>
            <w:r w:rsidRPr="00EA217B">
              <w:rPr>
                <w:rFonts w:ascii="Arial" w:hAnsi="Arial" w:cs="Arial"/>
                <w:color w:val="000000"/>
                <w:sz w:val="20"/>
                <w:szCs w:val="20"/>
                <w:lang w:eastAsia="pt-BR"/>
              </w:rPr>
              <w:t>Cumpriu</w:t>
            </w:r>
          </w:p>
        </w:tc>
      </w:tr>
      <w:tr w:rsidR="00E25AC7" w:rsidRPr="008313B9" w:rsidTr="007E3174">
        <w:trPr>
          <w:trHeight w:val="288"/>
          <w:jc w:val="center"/>
        </w:trPr>
        <w:tc>
          <w:tcPr>
            <w:tcW w:w="996" w:type="dxa"/>
            <w:tcBorders>
              <w:top w:val="nil"/>
              <w:left w:val="single" w:sz="8" w:space="0" w:color="auto"/>
              <w:bottom w:val="single" w:sz="4" w:space="0" w:color="auto"/>
              <w:right w:val="single" w:sz="4" w:space="0" w:color="auto"/>
            </w:tcBorders>
            <w:vAlign w:val="center"/>
          </w:tcPr>
          <w:p w:rsidR="00E25AC7" w:rsidRPr="00EA217B" w:rsidRDefault="00E25AC7" w:rsidP="00EA217B">
            <w:pPr>
              <w:spacing w:after="0" w:line="240" w:lineRule="auto"/>
              <w:jc w:val="center"/>
              <w:rPr>
                <w:rFonts w:ascii="Arial" w:hAnsi="Arial" w:cs="Arial"/>
                <w:color w:val="000000"/>
                <w:sz w:val="20"/>
                <w:szCs w:val="20"/>
                <w:lang w:eastAsia="pt-BR"/>
              </w:rPr>
            </w:pPr>
            <w:r w:rsidRPr="00EA217B">
              <w:rPr>
                <w:rFonts w:ascii="Arial" w:hAnsi="Arial" w:cs="Arial"/>
                <w:color w:val="000000"/>
                <w:sz w:val="20"/>
                <w:szCs w:val="20"/>
                <w:lang w:eastAsia="pt-BR"/>
              </w:rPr>
              <w:t>2006</w:t>
            </w:r>
          </w:p>
        </w:tc>
        <w:tc>
          <w:tcPr>
            <w:tcW w:w="2520" w:type="dxa"/>
            <w:tcBorders>
              <w:top w:val="nil"/>
              <w:left w:val="nil"/>
              <w:bottom w:val="single" w:sz="4" w:space="0" w:color="auto"/>
              <w:right w:val="single" w:sz="4" w:space="0" w:color="auto"/>
            </w:tcBorders>
            <w:vAlign w:val="center"/>
          </w:tcPr>
          <w:p w:rsidR="00E25AC7" w:rsidRPr="00EA217B" w:rsidRDefault="00E25AC7" w:rsidP="00EA217B">
            <w:pPr>
              <w:spacing w:after="0" w:line="240" w:lineRule="auto"/>
              <w:jc w:val="center"/>
              <w:rPr>
                <w:rFonts w:ascii="Arial" w:hAnsi="Arial" w:cs="Arial"/>
                <w:color w:val="000000"/>
                <w:sz w:val="20"/>
                <w:szCs w:val="20"/>
                <w:lang w:eastAsia="pt-BR"/>
              </w:rPr>
            </w:pPr>
            <w:r w:rsidRPr="00EA217B">
              <w:rPr>
                <w:rFonts w:ascii="Arial" w:hAnsi="Arial" w:cs="Arial"/>
                <w:color w:val="000000"/>
                <w:sz w:val="20"/>
                <w:szCs w:val="20"/>
                <w:lang w:eastAsia="pt-BR"/>
              </w:rPr>
              <w:t>5.046.530,18</w:t>
            </w:r>
          </w:p>
        </w:tc>
        <w:tc>
          <w:tcPr>
            <w:tcW w:w="1124" w:type="dxa"/>
            <w:tcBorders>
              <w:top w:val="nil"/>
              <w:left w:val="nil"/>
              <w:bottom w:val="single" w:sz="4" w:space="0" w:color="auto"/>
              <w:right w:val="single" w:sz="4" w:space="0" w:color="auto"/>
            </w:tcBorders>
            <w:vAlign w:val="center"/>
          </w:tcPr>
          <w:p w:rsidR="00E25AC7" w:rsidRPr="00EA217B" w:rsidRDefault="00E25AC7" w:rsidP="00EA217B">
            <w:pPr>
              <w:spacing w:after="0" w:line="240" w:lineRule="auto"/>
              <w:jc w:val="center"/>
              <w:rPr>
                <w:rFonts w:ascii="Arial" w:hAnsi="Arial" w:cs="Arial"/>
                <w:color w:val="000000"/>
                <w:sz w:val="20"/>
                <w:szCs w:val="20"/>
                <w:lang w:eastAsia="pt-BR"/>
              </w:rPr>
            </w:pPr>
            <w:r w:rsidRPr="00EA217B">
              <w:rPr>
                <w:rFonts w:ascii="Arial" w:hAnsi="Arial" w:cs="Arial"/>
                <w:color w:val="000000"/>
                <w:sz w:val="20"/>
                <w:szCs w:val="20"/>
                <w:lang w:eastAsia="pt-BR"/>
              </w:rPr>
              <w:t>16,04</w:t>
            </w:r>
          </w:p>
        </w:tc>
        <w:tc>
          <w:tcPr>
            <w:tcW w:w="1440" w:type="dxa"/>
            <w:tcBorders>
              <w:top w:val="nil"/>
              <w:left w:val="nil"/>
              <w:bottom w:val="single" w:sz="4" w:space="0" w:color="auto"/>
              <w:right w:val="single" w:sz="8" w:space="0" w:color="auto"/>
            </w:tcBorders>
            <w:vAlign w:val="center"/>
          </w:tcPr>
          <w:p w:rsidR="00E25AC7" w:rsidRPr="00EA217B" w:rsidRDefault="00E25AC7" w:rsidP="00EA217B">
            <w:pPr>
              <w:spacing w:after="0" w:line="240" w:lineRule="auto"/>
              <w:jc w:val="center"/>
              <w:rPr>
                <w:rFonts w:ascii="Arial" w:hAnsi="Arial" w:cs="Arial"/>
                <w:color w:val="000000"/>
                <w:sz w:val="20"/>
                <w:szCs w:val="20"/>
                <w:lang w:eastAsia="pt-BR"/>
              </w:rPr>
            </w:pPr>
            <w:r w:rsidRPr="00EA217B">
              <w:rPr>
                <w:rFonts w:ascii="Arial" w:hAnsi="Arial" w:cs="Arial"/>
                <w:color w:val="000000"/>
                <w:sz w:val="20"/>
                <w:szCs w:val="20"/>
                <w:lang w:eastAsia="pt-BR"/>
              </w:rPr>
              <w:t>Cumpriu</w:t>
            </w:r>
          </w:p>
        </w:tc>
      </w:tr>
      <w:tr w:rsidR="00E25AC7" w:rsidRPr="008313B9" w:rsidTr="007E3174">
        <w:trPr>
          <w:trHeight w:val="288"/>
          <w:jc w:val="center"/>
        </w:trPr>
        <w:tc>
          <w:tcPr>
            <w:tcW w:w="996" w:type="dxa"/>
            <w:tcBorders>
              <w:top w:val="nil"/>
              <w:left w:val="single" w:sz="8" w:space="0" w:color="auto"/>
              <w:bottom w:val="single" w:sz="4" w:space="0" w:color="auto"/>
              <w:right w:val="single" w:sz="4" w:space="0" w:color="auto"/>
            </w:tcBorders>
            <w:vAlign w:val="center"/>
          </w:tcPr>
          <w:p w:rsidR="00E25AC7" w:rsidRPr="00EA217B" w:rsidRDefault="00E25AC7" w:rsidP="00EA217B">
            <w:pPr>
              <w:spacing w:after="0" w:line="240" w:lineRule="auto"/>
              <w:jc w:val="center"/>
              <w:rPr>
                <w:rFonts w:ascii="Arial" w:hAnsi="Arial" w:cs="Arial"/>
                <w:color w:val="000000"/>
                <w:sz w:val="20"/>
                <w:szCs w:val="20"/>
                <w:lang w:eastAsia="pt-BR"/>
              </w:rPr>
            </w:pPr>
            <w:r w:rsidRPr="00EA217B">
              <w:rPr>
                <w:rFonts w:ascii="Arial" w:hAnsi="Arial" w:cs="Arial"/>
                <w:color w:val="000000"/>
                <w:sz w:val="20"/>
                <w:szCs w:val="20"/>
                <w:lang w:eastAsia="pt-BR"/>
              </w:rPr>
              <w:t>2007</w:t>
            </w:r>
          </w:p>
        </w:tc>
        <w:tc>
          <w:tcPr>
            <w:tcW w:w="2520" w:type="dxa"/>
            <w:tcBorders>
              <w:top w:val="nil"/>
              <w:left w:val="nil"/>
              <w:bottom w:val="single" w:sz="4" w:space="0" w:color="auto"/>
              <w:right w:val="single" w:sz="4" w:space="0" w:color="auto"/>
            </w:tcBorders>
            <w:vAlign w:val="center"/>
          </w:tcPr>
          <w:p w:rsidR="00E25AC7" w:rsidRPr="00EA217B" w:rsidRDefault="00E25AC7" w:rsidP="00EA217B">
            <w:pPr>
              <w:spacing w:after="0" w:line="240" w:lineRule="auto"/>
              <w:jc w:val="center"/>
              <w:rPr>
                <w:rFonts w:ascii="Arial" w:hAnsi="Arial" w:cs="Arial"/>
                <w:color w:val="000000"/>
                <w:sz w:val="20"/>
                <w:szCs w:val="20"/>
                <w:lang w:eastAsia="pt-BR"/>
              </w:rPr>
            </w:pPr>
            <w:r w:rsidRPr="00EA217B">
              <w:rPr>
                <w:rFonts w:ascii="Arial" w:hAnsi="Arial" w:cs="Arial"/>
                <w:color w:val="000000"/>
                <w:sz w:val="20"/>
                <w:szCs w:val="20"/>
                <w:lang w:eastAsia="pt-BR"/>
              </w:rPr>
              <w:t>6.957.534,10</w:t>
            </w:r>
          </w:p>
        </w:tc>
        <w:tc>
          <w:tcPr>
            <w:tcW w:w="1124" w:type="dxa"/>
            <w:tcBorders>
              <w:top w:val="nil"/>
              <w:left w:val="nil"/>
              <w:bottom w:val="single" w:sz="4" w:space="0" w:color="auto"/>
              <w:right w:val="single" w:sz="4" w:space="0" w:color="auto"/>
            </w:tcBorders>
            <w:vAlign w:val="center"/>
          </w:tcPr>
          <w:p w:rsidR="00E25AC7" w:rsidRPr="00EA217B" w:rsidRDefault="00E25AC7" w:rsidP="00EA217B">
            <w:pPr>
              <w:spacing w:after="0" w:line="240" w:lineRule="auto"/>
              <w:jc w:val="center"/>
              <w:rPr>
                <w:rFonts w:ascii="Arial" w:hAnsi="Arial" w:cs="Arial"/>
                <w:color w:val="000000"/>
                <w:sz w:val="20"/>
                <w:szCs w:val="20"/>
                <w:lang w:eastAsia="pt-BR"/>
              </w:rPr>
            </w:pPr>
            <w:r w:rsidRPr="00EA217B">
              <w:rPr>
                <w:rFonts w:ascii="Arial" w:hAnsi="Arial" w:cs="Arial"/>
                <w:color w:val="000000"/>
                <w:sz w:val="20"/>
                <w:szCs w:val="20"/>
                <w:lang w:eastAsia="pt-BR"/>
              </w:rPr>
              <w:t>17,48</w:t>
            </w:r>
          </w:p>
        </w:tc>
        <w:tc>
          <w:tcPr>
            <w:tcW w:w="1440" w:type="dxa"/>
            <w:tcBorders>
              <w:top w:val="nil"/>
              <w:left w:val="nil"/>
              <w:bottom w:val="single" w:sz="4" w:space="0" w:color="auto"/>
              <w:right w:val="single" w:sz="8" w:space="0" w:color="auto"/>
            </w:tcBorders>
            <w:vAlign w:val="center"/>
          </w:tcPr>
          <w:p w:rsidR="00E25AC7" w:rsidRPr="00EA217B" w:rsidRDefault="00E25AC7" w:rsidP="00EA217B">
            <w:pPr>
              <w:spacing w:after="0" w:line="240" w:lineRule="auto"/>
              <w:jc w:val="center"/>
              <w:rPr>
                <w:rFonts w:ascii="Arial" w:hAnsi="Arial" w:cs="Arial"/>
                <w:color w:val="000000"/>
                <w:sz w:val="20"/>
                <w:szCs w:val="20"/>
                <w:lang w:eastAsia="pt-BR"/>
              </w:rPr>
            </w:pPr>
            <w:r w:rsidRPr="00EA217B">
              <w:rPr>
                <w:rFonts w:ascii="Arial" w:hAnsi="Arial" w:cs="Arial"/>
                <w:color w:val="000000"/>
                <w:sz w:val="20"/>
                <w:szCs w:val="20"/>
                <w:lang w:eastAsia="pt-BR"/>
              </w:rPr>
              <w:t>Cumpriu</w:t>
            </w:r>
          </w:p>
        </w:tc>
      </w:tr>
      <w:tr w:rsidR="00E25AC7" w:rsidRPr="008313B9" w:rsidTr="007E3174">
        <w:trPr>
          <w:trHeight w:val="288"/>
          <w:jc w:val="center"/>
        </w:trPr>
        <w:tc>
          <w:tcPr>
            <w:tcW w:w="996" w:type="dxa"/>
            <w:tcBorders>
              <w:top w:val="nil"/>
              <w:left w:val="single" w:sz="8" w:space="0" w:color="auto"/>
              <w:bottom w:val="single" w:sz="4" w:space="0" w:color="auto"/>
              <w:right w:val="single" w:sz="4" w:space="0" w:color="auto"/>
            </w:tcBorders>
            <w:vAlign w:val="center"/>
          </w:tcPr>
          <w:p w:rsidR="00E25AC7" w:rsidRPr="00EA217B" w:rsidRDefault="00E25AC7" w:rsidP="00EA217B">
            <w:pPr>
              <w:spacing w:after="0" w:line="240" w:lineRule="auto"/>
              <w:jc w:val="center"/>
              <w:rPr>
                <w:rFonts w:ascii="Arial" w:hAnsi="Arial" w:cs="Arial"/>
                <w:color w:val="000000"/>
                <w:sz w:val="20"/>
                <w:szCs w:val="20"/>
                <w:lang w:eastAsia="pt-BR"/>
              </w:rPr>
            </w:pPr>
            <w:r w:rsidRPr="00EA217B">
              <w:rPr>
                <w:rFonts w:ascii="Arial" w:hAnsi="Arial" w:cs="Arial"/>
                <w:color w:val="000000"/>
                <w:sz w:val="20"/>
                <w:szCs w:val="20"/>
                <w:lang w:eastAsia="pt-BR"/>
              </w:rPr>
              <w:t>2008</w:t>
            </w:r>
          </w:p>
        </w:tc>
        <w:tc>
          <w:tcPr>
            <w:tcW w:w="2520" w:type="dxa"/>
            <w:tcBorders>
              <w:top w:val="nil"/>
              <w:left w:val="nil"/>
              <w:bottom w:val="single" w:sz="4" w:space="0" w:color="auto"/>
              <w:right w:val="single" w:sz="4" w:space="0" w:color="auto"/>
            </w:tcBorders>
            <w:vAlign w:val="center"/>
          </w:tcPr>
          <w:p w:rsidR="00E25AC7" w:rsidRPr="00EA217B" w:rsidRDefault="00E25AC7" w:rsidP="00EA217B">
            <w:pPr>
              <w:spacing w:after="0" w:line="240" w:lineRule="auto"/>
              <w:jc w:val="center"/>
              <w:rPr>
                <w:rFonts w:ascii="Arial" w:hAnsi="Arial" w:cs="Arial"/>
                <w:color w:val="000000"/>
                <w:sz w:val="20"/>
                <w:szCs w:val="20"/>
                <w:lang w:eastAsia="pt-BR"/>
              </w:rPr>
            </w:pPr>
            <w:r w:rsidRPr="00EA217B">
              <w:rPr>
                <w:rFonts w:ascii="Arial" w:hAnsi="Arial" w:cs="Arial"/>
                <w:color w:val="000000"/>
                <w:sz w:val="20"/>
                <w:szCs w:val="20"/>
                <w:lang w:eastAsia="pt-BR"/>
              </w:rPr>
              <w:t>7.425.141,79</w:t>
            </w:r>
          </w:p>
        </w:tc>
        <w:tc>
          <w:tcPr>
            <w:tcW w:w="1124" w:type="dxa"/>
            <w:tcBorders>
              <w:top w:val="nil"/>
              <w:left w:val="nil"/>
              <w:bottom w:val="single" w:sz="4" w:space="0" w:color="auto"/>
              <w:right w:val="single" w:sz="4" w:space="0" w:color="auto"/>
            </w:tcBorders>
            <w:vAlign w:val="center"/>
          </w:tcPr>
          <w:p w:rsidR="00E25AC7" w:rsidRPr="00EA217B" w:rsidRDefault="00E25AC7" w:rsidP="00EA217B">
            <w:pPr>
              <w:spacing w:after="0" w:line="240" w:lineRule="auto"/>
              <w:jc w:val="center"/>
              <w:rPr>
                <w:rFonts w:ascii="Arial" w:hAnsi="Arial" w:cs="Arial"/>
                <w:color w:val="000000"/>
                <w:sz w:val="20"/>
                <w:szCs w:val="20"/>
                <w:lang w:eastAsia="pt-BR"/>
              </w:rPr>
            </w:pPr>
            <w:r w:rsidRPr="00EA217B">
              <w:rPr>
                <w:rFonts w:ascii="Arial" w:hAnsi="Arial" w:cs="Arial"/>
                <w:color w:val="000000"/>
                <w:sz w:val="20"/>
                <w:szCs w:val="20"/>
                <w:lang w:eastAsia="pt-BR"/>
              </w:rPr>
              <w:t>15,94</w:t>
            </w:r>
          </w:p>
        </w:tc>
        <w:tc>
          <w:tcPr>
            <w:tcW w:w="1440" w:type="dxa"/>
            <w:tcBorders>
              <w:top w:val="nil"/>
              <w:left w:val="nil"/>
              <w:bottom w:val="single" w:sz="4" w:space="0" w:color="auto"/>
              <w:right w:val="single" w:sz="8" w:space="0" w:color="auto"/>
            </w:tcBorders>
            <w:vAlign w:val="center"/>
          </w:tcPr>
          <w:p w:rsidR="00E25AC7" w:rsidRPr="00EA217B" w:rsidRDefault="00E25AC7" w:rsidP="00EA217B">
            <w:pPr>
              <w:spacing w:after="0" w:line="240" w:lineRule="auto"/>
              <w:jc w:val="center"/>
              <w:rPr>
                <w:rFonts w:ascii="Arial" w:hAnsi="Arial" w:cs="Arial"/>
                <w:color w:val="000000"/>
                <w:sz w:val="20"/>
                <w:szCs w:val="20"/>
                <w:lang w:eastAsia="pt-BR"/>
              </w:rPr>
            </w:pPr>
            <w:r w:rsidRPr="00EA217B">
              <w:rPr>
                <w:rFonts w:ascii="Arial" w:hAnsi="Arial" w:cs="Arial"/>
                <w:color w:val="000000"/>
                <w:sz w:val="20"/>
                <w:szCs w:val="20"/>
                <w:lang w:eastAsia="pt-BR"/>
              </w:rPr>
              <w:t>Cumpriu</w:t>
            </w:r>
          </w:p>
        </w:tc>
      </w:tr>
      <w:tr w:rsidR="00E25AC7" w:rsidRPr="008313B9" w:rsidTr="007E3174">
        <w:trPr>
          <w:trHeight w:val="288"/>
          <w:jc w:val="center"/>
        </w:trPr>
        <w:tc>
          <w:tcPr>
            <w:tcW w:w="996" w:type="dxa"/>
            <w:tcBorders>
              <w:top w:val="nil"/>
              <w:left w:val="single" w:sz="8" w:space="0" w:color="auto"/>
              <w:bottom w:val="single" w:sz="4" w:space="0" w:color="auto"/>
              <w:right w:val="single" w:sz="4" w:space="0" w:color="auto"/>
            </w:tcBorders>
            <w:vAlign w:val="center"/>
          </w:tcPr>
          <w:p w:rsidR="00E25AC7" w:rsidRPr="00EA217B" w:rsidRDefault="00E25AC7" w:rsidP="00EA217B">
            <w:pPr>
              <w:spacing w:after="0" w:line="240" w:lineRule="auto"/>
              <w:jc w:val="center"/>
              <w:rPr>
                <w:rFonts w:ascii="Arial" w:hAnsi="Arial" w:cs="Arial"/>
                <w:color w:val="000000"/>
                <w:sz w:val="20"/>
                <w:szCs w:val="20"/>
                <w:lang w:eastAsia="pt-BR"/>
              </w:rPr>
            </w:pPr>
            <w:r w:rsidRPr="00EA217B">
              <w:rPr>
                <w:rFonts w:ascii="Arial" w:hAnsi="Arial" w:cs="Arial"/>
                <w:color w:val="000000"/>
                <w:sz w:val="20"/>
                <w:szCs w:val="20"/>
                <w:lang w:eastAsia="pt-BR"/>
              </w:rPr>
              <w:t>2009</w:t>
            </w:r>
          </w:p>
        </w:tc>
        <w:tc>
          <w:tcPr>
            <w:tcW w:w="2520" w:type="dxa"/>
            <w:tcBorders>
              <w:top w:val="nil"/>
              <w:left w:val="nil"/>
              <w:bottom w:val="single" w:sz="4" w:space="0" w:color="auto"/>
              <w:right w:val="single" w:sz="4" w:space="0" w:color="auto"/>
            </w:tcBorders>
            <w:vAlign w:val="center"/>
          </w:tcPr>
          <w:p w:rsidR="00E25AC7" w:rsidRPr="00EA217B" w:rsidRDefault="00E25AC7" w:rsidP="00EA217B">
            <w:pPr>
              <w:spacing w:after="0" w:line="240" w:lineRule="auto"/>
              <w:jc w:val="center"/>
              <w:rPr>
                <w:rFonts w:ascii="Arial" w:hAnsi="Arial" w:cs="Arial"/>
                <w:color w:val="000000"/>
                <w:sz w:val="20"/>
                <w:szCs w:val="20"/>
                <w:lang w:eastAsia="pt-BR"/>
              </w:rPr>
            </w:pPr>
            <w:r w:rsidRPr="00EA217B">
              <w:rPr>
                <w:rFonts w:ascii="Arial" w:hAnsi="Arial" w:cs="Arial"/>
                <w:color w:val="000000"/>
                <w:sz w:val="20"/>
                <w:szCs w:val="20"/>
                <w:lang w:eastAsia="pt-BR"/>
              </w:rPr>
              <w:t>9.713.473,47</w:t>
            </w:r>
          </w:p>
        </w:tc>
        <w:tc>
          <w:tcPr>
            <w:tcW w:w="1124" w:type="dxa"/>
            <w:tcBorders>
              <w:top w:val="nil"/>
              <w:left w:val="nil"/>
              <w:bottom w:val="single" w:sz="4" w:space="0" w:color="auto"/>
              <w:right w:val="single" w:sz="4" w:space="0" w:color="auto"/>
            </w:tcBorders>
            <w:vAlign w:val="center"/>
          </w:tcPr>
          <w:p w:rsidR="00E25AC7" w:rsidRPr="00EA217B" w:rsidRDefault="00E25AC7" w:rsidP="00EA217B">
            <w:pPr>
              <w:spacing w:after="0" w:line="240" w:lineRule="auto"/>
              <w:jc w:val="center"/>
              <w:rPr>
                <w:rFonts w:ascii="Arial" w:hAnsi="Arial" w:cs="Arial"/>
                <w:color w:val="000000"/>
                <w:sz w:val="20"/>
                <w:szCs w:val="20"/>
                <w:lang w:eastAsia="pt-BR"/>
              </w:rPr>
            </w:pPr>
            <w:r w:rsidRPr="00EA217B">
              <w:rPr>
                <w:rFonts w:ascii="Arial" w:hAnsi="Arial" w:cs="Arial"/>
                <w:color w:val="000000"/>
                <w:sz w:val="20"/>
                <w:szCs w:val="20"/>
                <w:lang w:eastAsia="pt-BR"/>
              </w:rPr>
              <w:t>17,62</w:t>
            </w:r>
          </w:p>
        </w:tc>
        <w:tc>
          <w:tcPr>
            <w:tcW w:w="1440" w:type="dxa"/>
            <w:tcBorders>
              <w:top w:val="nil"/>
              <w:left w:val="nil"/>
              <w:bottom w:val="single" w:sz="4" w:space="0" w:color="auto"/>
              <w:right w:val="single" w:sz="8" w:space="0" w:color="auto"/>
            </w:tcBorders>
            <w:vAlign w:val="center"/>
          </w:tcPr>
          <w:p w:rsidR="00E25AC7" w:rsidRPr="00EA217B" w:rsidRDefault="00E25AC7" w:rsidP="00EA217B">
            <w:pPr>
              <w:spacing w:after="0" w:line="240" w:lineRule="auto"/>
              <w:jc w:val="center"/>
              <w:rPr>
                <w:rFonts w:ascii="Arial" w:hAnsi="Arial" w:cs="Arial"/>
                <w:color w:val="000000"/>
                <w:sz w:val="20"/>
                <w:szCs w:val="20"/>
                <w:lang w:eastAsia="pt-BR"/>
              </w:rPr>
            </w:pPr>
            <w:r w:rsidRPr="00EA217B">
              <w:rPr>
                <w:rFonts w:ascii="Arial" w:hAnsi="Arial" w:cs="Arial"/>
                <w:color w:val="000000"/>
                <w:sz w:val="20"/>
                <w:szCs w:val="20"/>
                <w:lang w:eastAsia="pt-BR"/>
              </w:rPr>
              <w:t>Cumpriu</w:t>
            </w:r>
          </w:p>
        </w:tc>
      </w:tr>
      <w:tr w:rsidR="00E25AC7" w:rsidRPr="008313B9" w:rsidTr="007E3174">
        <w:trPr>
          <w:trHeight w:val="300"/>
          <w:jc w:val="center"/>
        </w:trPr>
        <w:tc>
          <w:tcPr>
            <w:tcW w:w="996" w:type="dxa"/>
            <w:tcBorders>
              <w:top w:val="nil"/>
              <w:left w:val="single" w:sz="8" w:space="0" w:color="auto"/>
              <w:bottom w:val="single" w:sz="8" w:space="0" w:color="auto"/>
              <w:right w:val="single" w:sz="4" w:space="0" w:color="auto"/>
            </w:tcBorders>
            <w:vAlign w:val="center"/>
          </w:tcPr>
          <w:p w:rsidR="00E25AC7" w:rsidRPr="00EA217B" w:rsidRDefault="00E25AC7" w:rsidP="00EA217B">
            <w:pPr>
              <w:spacing w:after="0" w:line="240" w:lineRule="auto"/>
              <w:jc w:val="center"/>
              <w:rPr>
                <w:rFonts w:ascii="Arial" w:hAnsi="Arial" w:cs="Arial"/>
                <w:color w:val="000000"/>
                <w:sz w:val="20"/>
                <w:szCs w:val="20"/>
                <w:lang w:eastAsia="pt-BR"/>
              </w:rPr>
            </w:pPr>
            <w:r w:rsidRPr="00EA217B">
              <w:rPr>
                <w:rFonts w:ascii="Arial" w:hAnsi="Arial" w:cs="Arial"/>
                <w:color w:val="000000"/>
                <w:sz w:val="20"/>
                <w:szCs w:val="20"/>
                <w:lang w:eastAsia="pt-BR"/>
              </w:rPr>
              <w:t>2010</w:t>
            </w:r>
          </w:p>
        </w:tc>
        <w:tc>
          <w:tcPr>
            <w:tcW w:w="2520" w:type="dxa"/>
            <w:tcBorders>
              <w:top w:val="nil"/>
              <w:left w:val="nil"/>
              <w:bottom w:val="single" w:sz="8" w:space="0" w:color="auto"/>
              <w:right w:val="single" w:sz="4" w:space="0" w:color="auto"/>
            </w:tcBorders>
            <w:vAlign w:val="center"/>
          </w:tcPr>
          <w:p w:rsidR="00E25AC7" w:rsidRPr="00EA217B" w:rsidRDefault="00E25AC7" w:rsidP="00EA217B">
            <w:pPr>
              <w:spacing w:after="0" w:line="240" w:lineRule="auto"/>
              <w:jc w:val="center"/>
              <w:rPr>
                <w:rFonts w:ascii="Arial" w:hAnsi="Arial" w:cs="Arial"/>
                <w:color w:val="000000"/>
                <w:sz w:val="20"/>
                <w:szCs w:val="20"/>
                <w:lang w:eastAsia="pt-BR"/>
              </w:rPr>
            </w:pPr>
            <w:r w:rsidRPr="00EA217B">
              <w:rPr>
                <w:rFonts w:ascii="Arial" w:hAnsi="Arial" w:cs="Arial"/>
                <w:color w:val="000000"/>
                <w:sz w:val="20"/>
                <w:szCs w:val="20"/>
                <w:lang w:eastAsia="pt-BR"/>
              </w:rPr>
              <w:t>10.934.445,84</w:t>
            </w:r>
          </w:p>
        </w:tc>
        <w:tc>
          <w:tcPr>
            <w:tcW w:w="1124" w:type="dxa"/>
            <w:tcBorders>
              <w:top w:val="nil"/>
              <w:left w:val="nil"/>
              <w:bottom w:val="single" w:sz="8" w:space="0" w:color="auto"/>
              <w:right w:val="single" w:sz="4" w:space="0" w:color="auto"/>
            </w:tcBorders>
            <w:vAlign w:val="center"/>
          </w:tcPr>
          <w:p w:rsidR="00E25AC7" w:rsidRPr="00EA217B" w:rsidRDefault="00E25AC7" w:rsidP="00EA217B">
            <w:pPr>
              <w:spacing w:after="0" w:line="240" w:lineRule="auto"/>
              <w:jc w:val="center"/>
              <w:rPr>
                <w:rFonts w:ascii="Arial" w:hAnsi="Arial" w:cs="Arial"/>
                <w:color w:val="000000"/>
                <w:sz w:val="20"/>
                <w:szCs w:val="20"/>
                <w:lang w:eastAsia="pt-BR"/>
              </w:rPr>
            </w:pPr>
            <w:r w:rsidRPr="00EA217B">
              <w:rPr>
                <w:rFonts w:ascii="Arial" w:hAnsi="Arial" w:cs="Arial"/>
                <w:color w:val="000000"/>
                <w:sz w:val="20"/>
                <w:szCs w:val="20"/>
                <w:lang w:eastAsia="pt-BR"/>
              </w:rPr>
              <w:t>16,46</w:t>
            </w:r>
          </w:p>
        </w:tc>
        <w:tc>
          <w:tcPr>
            <w:tcW w:w="1440" w:type="dxa"/>
            <w:tcBorders>
              <w:top w:val="nil"/>
              <w:left w:val="nil"/>
              <w:bottom w:val="single" w:sz="8" w:space="0" w:color="auto"/>
              <w:right w:val="single" w:sz="8" w:space="0" w:color="auto"/>
            </w:tcBorders>
            <w:vAlign w:val="center"/>
          </w:tcPr>
          <w:p w:rsidR="00E25AC7" w:rsidRPr="00EA217B" w:rsidRDefault="00E25AC7" w:rsidP="00EA217B">
            <w:pPr>
              <w:spacing w:after="0" w:line="240" w:lineRule="auto"/>
              <w:jc w:val="center"/>
              <w:rPr>
                <w:rFonts w:ascii="Arial" w:hAnsi="Arial" w:cs="Arial"/>
                <w:color w:val="000000"/>
                <w:sz w:val="20"/>
                <w:szCs w:val="20"/>
                <w:lang w:eastAsia="pt-BR"/>
              </w:rPr>
            </w:pPr>
            <w:r w:rsidRPr="00EA217B">
              <w:rPr>
                <w:rFonts w:ascii="Arial" w:hAnsi="Arial" w:cs="Arial"/>
                <w:color w:val="000000"/>
                <w:sz w:val="20"/>
                <w:szCs w:val="20"/>
                <w:lang w:eastAsia="pt-BR"/>
              </w:rPr>
              <w:t>Cumpriu</w:t>
            </w:r>
          </w:p>
        </w:tc>
      </w:tr>
    </w:tbl>
    <w:p w:rsidR="00E25AC7" w:rsidRPr="00D677DF" w:rsidRDefault="00E25AC7" w:rsidP="007E3174">
      <w:pPr>
        <w:spacing w:after="0" w:line="360" w:lineRule="auto"/>
        <w:jc w:val="center"/>
        <w:rPr>
          <w:rFonts w:ascii="Arial" w:hAnsi="Arial" w:cs="Arial"/>
          <w:sz w:val="20"/>
          <w:szCs w:val="20"/>
          <w:lang w:eastAsia="pt-BR"/>
        </w:rPr>
      </w:pPr>
      <w:r w:rsidRPr="00D677DF">
        <w:rPr>
          <w:rFonts w:ascii="Arial" w:hAnsi="Arial" w:cs="Arial"/>
          <w:sz w:val="20"/>
          <w:szCs w:val="20"/>
          <w:lang w:eastAsia="pt-BR"/>
        </w:rPr>
        <w:t>Fonte: elaborado pelos autores com base em TCE/SC, SIOPS (2012).</w:t>
      </w:r>
    </w:p>
    <w:p w:rsidR="00E25AC7" w:rsidRDefault="00E25AC7" w:rsidP="008F27FA">
      <w:pPr>
        <w:spacing w:after="0" w:line="360" w:lineRule="auto"/>
        <w:ind w:firstLine="700"/>
        <w:jc w:val="both"/>
        <w:rPr>
          <w:rFonts w:ascii="Arial" w:hAnsi="Arial" w:cs="Arial"/>
          <w:sz w:val="24"/>
          <w:szCs w:val="24"/>
          <w:lang w:eastAsia="pt-BR"/>
        </w:rPr>
      </w:pPr>
    </w:p>
    <w:p w:rsidR="00E25AC7" w:rsidRPr="008F27FA" w:rsidRDefault="00E25AC7" w:rsidP="008F27FA">
      <w:pPr>
        <w:spacing w:after="0" w:line="360" w:lineRule="auto"/>
        <w:ind w:firstLine="700"/>
        <w:jc w:val="both"/>
        <w:rPr>
          <w:rFonts w:ascii="Arial" w:hAnsi="Arial" w:cs="Arial"/>
          <w:sz w:val="27"/>
          <w:szCs w:val="27"/>
          <w:lang w:eastAsia="pt-BR"/>
        </w:rPr>
      </w:pPr>
      <w:r w:rsidRPr="008F27FA">
        <w:rPr>
          <w:rFonts w:ascii="Arial" w:hAnsi="Arial" w:cs="Arial"/>
          <w:sz w:val="24"/>
          <w:szCs w:val="24"/>
          <w:lang w:eastAsia="pt-BR"/>
        </w:rPr>
        <w:t xml:space="preserve">Observa-se que o gasto com a saúde com aplicação de recursos próprio do município de Itapema é bem sazonal, apesar de pequenas variações, pode-se perceber que não há uma continuidade ou incremento nos investimentos alocados ao SUS. </w:t>
      </w:r>
    </w:p>
    <w:p w:rsidR="00E25AC7" w:rsidRDefault="00E25AC7" w:rsidP="00F9643C">
      <w:pPr>
        <w:spacing w:after="0" w:line="240" w:lineRule="auto"/>
        <w:ind w:firstLine="700"/>
        <w:rPr>
          <w:rFonts w:ascii="Arial" w:hAnsi="Arial" w:cs="Arial"/>
          <w:b/>
          <w:bCs/>
          <w:sz w:val="24"/>
          <w:szCs w:val="24"/>
          <w:lang w:eastAsia="pt-BR"/>
        </w:rPr>
      </w:pPr>
    </w:p>
    <w:p w:rsidR="00E25AC7" w:rsidRPr="001C741E" w:rsidRDefault="00E25AC7" w:rsidP="00F9643C">
      <w:pPr>
        <w:spacing w:after="0" w:line="240" w:lineRule="auto"/>
        <w:ind w:firstLine="700"/>
        <w:jc w:val="center"/>
        <w:rPr>
          <w:rFonts w:ascii="Arial" w:hAnsi="Arial" w:cs="Arial"/>
          <w:b/>
          <w:sz w:val="24"/>
          <w:szCs w:val="24"/>
          <w:lang w:eastAsia="pt-BR"/>
        </w:rPr>
      </w:pPr>
      <w:r w:rsidRPr="00452ADD">
        <w:rPr>
          <w:rFonts w:ascii="Arial" w:hAnsi="Arial" w:cs="Arial"/>
          <w:b/>
          <w:bCs/>
          <w:sz w:val="24"/>
          <w:szCs w:val="24"/>
          <w:lang w:eastAsia="pt-BR"/>
        </w:rPr>
        <w:t>Quadro</w:t>
      </w:r>
      <w:r>
        <w:rPr>
          <w:rFonts w:ascii="Arial" w:hAnsi="Arial" w:cs="Arial"/>
          <w:b/>
          <w:bCs/>
          <w:sz w:val="24"/>
          <w:szCs w:val="24"/>
          <w:lang w:eastAsia="pt-BR"/>
        </w:rPr>
        <w:t xml:space="preserve"> 5 -</w:t>
      </w:r>
      <w:r w:rsidRPr="00452ADD">
        <w:rPr>
          <w:rFonts w:ascii="Arial" w:hAnsi="Arial" w:cs="Arial"/>
          <w:sz w:val="24"/>
          <w:szCs w:val="24"/>
          <w:lang w:eastAsia="pt-BR"/>
        </w:rPr>
        <w:t xml:space="preserve"> </w:t>
      </w:r>
      <w:r w:rsidRPr="001C741E">
        <w:rPr>
          <w:rFonts w:ascii="Arial" w:hAnsi="Arial" w:cs="Arial"/>
          <w:b/>
          <w:sz w:val="24"/>
          <w:szCs w:val="24"/>
          <w:lang w:eastAsia="pt-BR"/>
        </w:rPr>
        <w:t>Percentual dos recursos próprios aplicados em saúde em Itajaí (2004 a 2010)</w:t>
      </w:r>
    </w:p>
    <w:p w:rsidR="00E25AC7" w:rsidRPr="00452ADD" w:rsidRDefault="00E25AC7" w:rsidP="00F9643C">
      <w:pPr>
        <w:spacing w:after="0" w:line="240" w:lineRule="auto"/>
        <w:ind w:firstLine="700"/>
        <w:jc w:val="center"/>
        <w:rPr>
          <w:rFonts w:ascii="Arial" w:hAnsi="Arial" w:cs="Arial"/>
          <w:sz w:val="24"/>
          <w:szCs w:val="24"/>
          <w:lang w:eastAsia="pt-BR"/>
        </w:rPr>
      </w:pPr>
    </w:p>
    <w:tbl>
      <w:tblPr>
        <w:tblW w:w="6600" w:type="dxa"/>
        <w:jc w:val="center"/>
        <w:tblInd w:w="55" w:type="dxa"/>
        <w:tblCellMar>
          <w:left w:w="70" w:type="dxa"/>
          <w:right w:w="70" w:type="dxa"/>
        </w:tblCellMar>
        <w:tblLook w:val="00A0" w:firstRow="1" w:lastRow="0" w:firstColumn="1" w:lastColumn="0" w:noHBand="0" w:noVBand="0"/>
      </w:tblPr>
      <w:tblGrid>
        <w:gridCol w:w="1220"/>
        <w:gridCol w:w="2620"/>
        <w:gridCol w:w="1280"/>
        <w:gridCol w:w="1480"/>
      </w:tblGrid>
      <w:tr w:rsidR="00E25AC7" w:rsidRPr="008313B9" w:rsidTr="00A76E8E">
        <w:trPr>
          <w:trHeight w:val="540"/>
          <w:jc w:val="center"/>
        </w:trPr>
        <w:tc>
          <w:tcPr>
            <w:tcW w:w="1220" w:type="dxa"/>
            <w:tcBorders>
              <w:top w:val="single" w:sz="8" w:space="0" w:color="auto"/>
              <w:left w:val="single" w:sz="8" w:space="0" w:color="auto"/>
              <w:bottom w:val="single" w:sz="8" w:space="0" w:color="auto"/>
              <w:right w:val="single" w:sz="4" w:space="0" w:color="auto"/>
            </w:tcBorders>
            <w:shd w:val="clear" w:color="000000" w:fill="C4BD97"/>
            <w:vAlign w:val="center"/>
          </w:tcPr>
          <w:p w:rsidR="00E25AC7" w:rsidRPr="00A76E8E" w:rsidRDefault="00E25AC7" w:rsidP="00A76E8E">
            <w:pPr>
              <w:spacing w:after="0" w:line="240" w:lineRule="auto"/>
              <w:jc w:val="center"/>
              <w:rPr>
                <w:rFonts w:ascii="Arial" w:hAnsi="Arial" w:cs="Arial"/>
                <w:b/>
                <w:bCs/>
                <w:color w:val="000000"/>
                <w:sz w:val="20"/>
                <w:szCs w:val="20"/>
                <w:lang w:eastAsia="pt-BR"/>
              </w:rPr>
            </w:pPr>
            <w:r w:rsidRPr="00A76E8E">
              <w:rPr>
                <w:rFonts w:ascii="Arial" w:hAnsi="Arial" w:cs="Arial"/>
                <w:b/>
                <w:bCs/>
                <w:color w:val="000000"/>
                <w:sz w:val="20"/>
                <w:szCs w:val="20"/>
                <w:lang w:eastAsia="pt-BR"/>
              </w:rPr>
              <w:t>Períodos</w:t>
            </w:r>
          </w:p>
        </w:tc>
        <w:tc>
          <w:tcPr>
            <w:tcW w:w="2620" w:type="dxa"/>
            <w:tcBorders>
              <w:top w:val="single" w:sz="8" w:space="0" w:color="auto"/>
              <w:left w:val="nil"/>
              <w:bottom w:val="single" w:sz="8" w:space="0" w:color="auto"/>
              <w:right w:val="single" w:sz="4" w:space="0" w:color="auto"/>
            </w:tcBorders>
            <w:shd w:val="clear" w:color="000000" w:fill="C4BD97"/>
            <w:vAlign w:val="center"/>
          </w:tcPr>
          <w:p w:rsidR="00E25AC7" w:rsidRPr="00A76E8E" w:rsidRDefault="00E25AC7" w:rsidP="00A76E8E">
            <w:pPr>
              <w:spacing w:after="0" w:line="240" w:lineRule="auto"/>
              <w:jc w:val="center"/>
              <w:rPr>
                <w:rFonts w:ascii="Arial" w:hAnsi="Arial" w:cs="Arial"/>
                <w:b/>
                <w:bCs/>
                <w:color w:val="000000"/>
                <w:sz w:val="20"/>
                <w:szCs w:val="20"/>
                <w:lang w:eastAsia="pt-BR"/>
              </w:rPr>
            </w:pPr>
            <w:r w:rsidRPr="00A76E8E">
              <w:rPr>
                <w:rFonts w:ascii="Arial" w:hAnsi="Arial" w:cs="Arial"/>
                <w:b/>
                <w:bCs/>
                <w:color w:val="000000"/>
                <w:sz w:val="20"/>
                <w:szCs w:val="20"/>
                <w:lang w:eastAsia="pt-BR"/>
              </w:rPr>
              <w:t>Despesas com saúde para efeito de Cálculo</w:t>
            </w:r>
          </w:p>
        </w:tc>
        <w:tc>
          <w:tcPr>
            <w:tcW w:w="1280" w:type="dxa"/>
            <w:tcBorders>
              <w:top w:val="single" w:sz="8" w:space="0" w:color="auto"/>
              <w:left w:val="nil"/>
              <w:bottom w:val="single" w:sz="8" w:space="0" w:color="auto"/>
              <w:right w:val="single" w:sz="4" w:space="0" w:color="auto"/>
            </w:tcBorders>
            <w:shd w:val="clear" w:color="000000" w:fill="C4BD97"/>
            <w:vAlign w:val="center"/>
          </w:tcPr>
          <w:p w:rsidR="00E25AC7" w:rsidRPr="00A76E8E" w:rsidRDefault="00E25AC7" w:rsidP="00A76E8E">
            <w:pPr>
              <w:spacing w:after="0" w:line="240" w:lineRule="auto"/>
              <w:jc w:val="center"/>
              <w:rPr>
                <w:rFonts w:ascii="Arial" w:hAnsi="Arial" w:cs="Arial"/>
                <w:b/>
                <w:bCs/>
                <w:color w:val="000000"/>
                <w:sz w:val="20"/>
                <w:szCs w:val="20"/>
                <w:lang w:eastAsia="pt-BR"/>
              </w:rPr>
            </w:pPr>
            <w:r w:rsidRPr="00A76E8E">
              <w:rPr>
                <w:rFonts w:ascii="Arial" w:hAnsi="Arial" w:cs="Arial"/>
                <w:b/>
                <w:bCs/>
                <w:color w:val="000000"/>
                <w:sz w:val="20"/>
                <w:szCs w:val="20"/>
                <w:lang w:eastAsia="pt-BR"/>
              </w:rPr>
              <w:t>% aplicado</w:t>
            </w:r>
          </w:p>
        </w:tc>
        <w:tc>
          <w:tcPr>
            <w:tcW w:w="1480" w:type="dxa"/>
            <w:tcBorders>
              <w:top w:val="single" w:sz="8" w:space="0" w:color="auto"/>
              <w:left w:val="nil"/>
              <w:bottom w:val="single" w:sz="8" w:space="0" w:color="auto"/>
              <w:right w:val="single" w:sz="8" w:space="0" w:color="auto"/>
            </w:tcBorders>
            <w:shd w:val="clear" w:color="000000" w:fill="C4BD97"/>
            <w:vAlign w:val="center"/>
          </w:tcPr>
          <w:p w:rsidR="00E25AC7" w:rsidRPr="00A76E8E" w:rsidRDefault="00E25AC7" w:rsidP="00A76E8E">
            <w:pPr>
              <w:spacing w:after="0" w:line="240" w:lineRule="auto"/>
              <w:jc w:val="center"/>
              <w:rPr>
                <w:rFonts w:ascii="Arial" w:hAnsi="Arial" w:cs="Arial"/>
                <w:b/>
                <w:bCs/>
                <w:color w:val="000000"/>
                <w:sz w:val="20"/>
                <w:szCs w:val="20"/>
                <w:lang w:eastAsia="pt-BR"/>
              </w:rPr>
            </w:pPr>
            <w:r w:rsidRPr="00A76E8E">
              <w:rPr>
                <w:rFonts w:ascii="Arial" w:hAnsi="Arial" w:cs="Arial"/>
                <w:b/>
                <w:bCs/>
                <w:color w:val="000000"/>
                <w:sz w:val="20"/>
                <w:szCs w:val="20"/>
                <w:lang w:eastAsia="pt-BR"/>
              </w:rPr>
              <w:t xml:space="preserve">Cumprimento </w:t>
            </w:r>
          </w:p>
        </w:tc>
      </w:tr>
      <w:tr w:rsidR="00E25AC7" w:rsidRPr="008313B9" w:rsidTr="00A76E8E">
        <w:trPr>
          <w:trHeight w:val="288"/>
          <w:jc w:val="center"/>
        </w:trPr>
        <w:tc>
          <w:tcPr>
            <w:tcW w:w="1220" w:type="dxa"/>
            <w:tcBorders>
              <w:top w:val="nil"/>
              <w:left w:val="single" w:sz="8" w:space="0" w:color="auto"/>
              <w:bottom w:val="single" w:sz="4" w:space="0" w:color="auto"/>
              <w:right w:val="single" w:sz="4" w:space="0" w:color="auto"/>
            </w:tcBorders>
            <w:vAlign w:val="center"/>
          </w:tcPr>
          <w:p w:rsidR="00E25AC7" w:rsidRPr="00A76E8E" w:rsidRDefault="00E25AC7" w:rsidP="00A76E8E">
            <w:pPr>
              <w:spacing w:after="0" w:line="240" w:lineRule="auto"/>
              <w:jc w:val="center"/>
              <w:rPr>
                <w:rFonts w:ascii="Arial" w:hAnsi="Arial" w:cs="Arial"/>
                <w:color w:val="000000"/>
                <w:sz w:val="20"/>
                <w:szCs w:val="20"/>
                <w:lang w:eastAsia="pt-BR"/>
              </w:rPr>
            </w:pPr>
            <w:r w:rsidRPr="00A76E8E">
              <w:rPr>
                <w:rFonts w:ascii="Arial" w:hAnsi="Arial" w:cs="Arial"/>
                <w:color w:val="000000"/>
                <w:sz w:val="20"/>
                <w:szCs w:val="20"/>
                <w:lang w:eastAsia="pt-BR"/>
              </w:rPr>
              <w:t>2004</w:t>
            </w:r>
          </w:p>
        </w:tc>
        <w:tc>
          <w:tcPr>
            <w:tcW w:w="2620" w:type="dxa"/>
            <w:tcBorders>
              <w:top w:val="nil"/>
              <w:left w:val="nil"/>
              <w:bottom w:val="single" w:sz="4" w:space="0" w:color="auto"/>
              <w:right w:val="single" w:sz="4" w:space="0" w:color="auto"/>
            </w:tcBorders>
            <w:vAlign w:val="center"/>
          </w:tcPr>
          <w:p w:rsidR="00E25AC7" w:rsidRPr="00A76E8E" w:rsidRDefault="00E25AC7" w:rsidP="00A76E8E">
            <w:pPr>
              <w:spacing w:after="0" w:line="240" w:lineRule="auto"/>
              <w:jc w:val="center"/>
              <w:rPr>
                <w:rFonts w:ascii="Arial" w:hAnsi="Arial" w:cs="Arial"/>
                <w:color w:val="000000"/>
                <w:sz w:val="20"/>
                <w:szCs w:val="20"/>
                <w:lang w:eastAsia="pt-BR"/>
              </w:rPr>
            </w:pPr>
            <w:r w:rsidRPr="00A76E8E">
              <w:rPr>
                <w:rFonts w:ascii="Arial" w:hAnsi="Arial" w:cs="Arial"/>
                <w:color w:val="000000"/>
                <w:sz w:val="20"/>
                <w:szCs w:val="20"/>
                <w:lang w:eastAsia="pt-BR"/>
              </w:rPr>
              <w:t>19.689.494,36</w:t>
            </w:r>
          </w:p>
        </w:tc>
        <w:tc>
          <w:tcPr>
            <w:tcW w:w="1280" w:type="dxa"/>
            <w:tcBorders>
              <w:top w:val="nil"/>
              <w:left w:val="nil"/>
              <w:bottom w:val="single" w:sz="4" w:space="0" w:color="auto"/>
              <w:right w:val="single" w:sz="4" w:space="0" w:color="auto"/>
            </w:tcBorders>
            <w:vAlign w:val="center"/>
          </w:tcPr>
          <w:p w:rsidR="00E25AC7" w:rsidRPr="00A76E8E" w:rsidRDefault="00E25AC7" w:rsidP="00A76E8E">
            <w:pPr>
              <w:spacing w:after="0" w:line="240" w:lineRule="auto"/>
              <w:jc w:val="center"/>
              <w:rPr>
                <w:rFonts w:ascii="Arial" w:hAnsi="Arial" w:cs="Arial"/>
                <w:color w:val="000000"/>
                <w:sz w:val="20"/>
                <w:szCs w:val="20"/>
                <w:lang w:eastAsia="pt-BR"/>
              </w:rPr>
            </w:pPr>
            <w:r w:rsidRPr="00A76E8E">
              <w:rPr>
                <w:rFonts w:ascii="Arial" w:hAnsi="Arial" w:cs="Arial"/>
                <w:color w:val="000000"/>
                <w:sz w:val="20"/>
                <w:szCs w:val="20"/>
                <w:lang w:eastAsia="pt-BR"/>
              </w:rPr>
              <w:t>15,51</w:t>
            </w:r>
          </w:p>
        </w:tc>
        <w:tc>
          <w:tcPr>
            <w:tcW w:w="1480" w:type="dxa"/>
            <w:tcBorders>
              <w:top w:val="nil"/>
              <w:left w:val="nil"/>
              <w:bottom w:val="single" w:sz="4" w:space="0" w:color="auto"/>
              <w:right w:val="single" w:sz="8" w:space="0" w:color="auto"/>
            </w:tcBorders>
            <w:vAlign w:val="center"/>
          </w:tcPr>
          <w:p w:rsidR="00E25AC7" w:rsidRPr="00A76E8E" w:rsidRDefault="00E25AC7" w:rsidP="00A76E8E">
            <w:pPr>
              <w:spacing w:after="0" w:line="240" w:lineRule="auto"/>
              <w:jc w:val="center"/>
              <w:rPr>
                <w:rFonts w:ascii="Arial" w:hAnsi="Arial" w:cs="Arial"/>
                <w:color w:val="000000"/>
                <w:sz w:val="20"/>
                <w:szCs w:val="20"/>
                <w:lang w:eastAsia="pt-BR"/>
              </w:rPr>
            </w:pPr>
            <w:r w:rsidRPr="00A76E8E">
              <w:rPr>
                <w:rFonts w:ascii="Arial" w:hAnsi="Arial" w:cs="Arial"/>
                <w:color w:val="000000"/>
                <w:sz w:val="20"/>
                <w:szCs w:val="20"/>
                <w:lang w:eastAsia="pt-BR"/>
              </w:rPr>
              <w:t>Cumpriu</w:t>
            </w:r>
          </w:p>
        </w:tc>
      </w:tr>
      <w:tr w:rsidR="00E25AC7" w:rsidRPr="008313B9" w:rsidTr="00A76E8E">
        <w:trPr>
          <w:trHeight w:val="288"/>
          <w:jc w:val="center"/>
        </w:trPr>
        <w:tc>
          <w:tcPr>
            <w:tcW w:w="1220" w:type="dxa"/>
            <w:tcBorders>
              <w:top w:val="nil"/>
              <w:left w:val="single" w:sz="8" w:space="0" w:color="auto"/>
              <w:bottom w:val="single" w:sz="4" w:space="0" w:color="auto"/>
              <w:right w:val="single" w:sz="4" w:space="0" w:color="auto"/>
            </w:tcBorders>
            <w:vAlign w:val="center"/>
          </w:tcPr>
          <w:p w:rsidR="00E25AC7" w:rsidRPr="00A76E8E" w:rsidRDefault="00E25AC7" w:rsidP="00A76E8E">
            <w:pPr>
              <w:spacing w:after="0" w:line="240" w:lineRule="auto"/>
              <w:jc w:val="center"/>
              <w:rPr>
                <w:rFonts w:ascii="Arial" w:hAnsi="Arial" w:cs="Arial"/>
                <w:color w:val="000000"/>
                <w:sz w:val="20"/>
                <w:szCs w:val="20"/>
                <w:lang w:eastAsia="pt-BR"/>
              </w:rPr>
            </w:pPr>
            <w:r w:rsidRPr="00A76E8E">
              <w:rPr>
                <w:rFonts w:ascii="Arial" w:hAnsi="Arial" w:cs="Arial"/>
                <w:color w:val="000000"/>
                <w:sz w:val="20"/>
                <w:szCs w:val="20"/>
                <w:lang w:eastAsia="pt-BR"/>
              </w:rPr>
              <w:t>2005</w:t>
            </w:r>
          </w:p>
        </w:tc>
        <w:tc>
          <w:tcPr>
            <w:tcW w:w="2620" w:type="dxa"/>
            <w:tcBorders>
              <w:top w:val="nil"/>
              <w:left w:val="nil"/>
              <w:bottom w:val="single" w:sz="4" w:space="0" w:color="auto"/>
              <w:right w:val="single" w:sz="4" w:space="0" w:color="auto"/>
            </w:tcBorders>
            <w:vAlign w:val="center"/>
          </w:tcPr>
          <w:p w:rsidR="00E25AC7" w:rsidRPr="00A76E8E" w:rsidRDefault="00E25AC7" w:rsidP="00A76E8E">
            <w:pPr>
              <w:spacing w:after="0" w:line="240" w:lineRule="auto"/>
              <w:jc w:val="center"/>
              <w:rPr>
                <w:rFonts w:ascii="Arial" w:hAnsi="Arial" w:cs="Arial"/>
                <w:color w:val="000000"/>
                <w:sz w:val="20"/>
                <w:szCs w:val="20"/>
                <w:lang w:eastAsia="pt-BR"/>
              </w:rPr>
            </w:pPr>
            <w:r w:rsidRPr="00A76E8E">
              <w:rPr>
                <w:rFonts w:ascii="Arial" w:hAnsi="Arial" w:cs="Arial"/>
                <w:color w:val="000000"/>
                <w:sz w:val="20"/>
                <w:szCs w:val="20"/>
                <w:lang w:eastAsia="pt-BR"/>
              </w:rPr>
              <w:t>27.133.658,40</w:t>
            </w:r>
          </w:p>
        </w:tc>
        <w:tc>
          <w:tcPr>
            <w:tcW w:w="1280" w:type="dxa"/>
            <w:tcBorders>
              <w:top w:val="nil"/>
              <w:left w:val="nil"/>
              <w:bottom w:val="single" w:sz="4" w:space="0" w:color="auto"/>
              <w:right w:val="single" w:sz="4" w:space="0" w:color="auto"/>
            </w:tcBorders>
            <w:vAlign w:val="center"/>
          </w:tcPr>
          <w:p w:rsidR="00E25AC7" w:rsidRPr="00A76E8E" w:rsidRDefault="00E25AC7" w:rsidP="00A76E8E">
            <w:pPr>
              <w:spacing w:after="0" w:line="240" w:lineRule="auto"/>
              <w:jc w:val="center"/>
              <w:rPr>
                <w:rFonts w:ascii="Arial" w:hAnsi="Arial" w:cs="Arial"/>
                <w:color w:val="000000"/>
                <w:sz w:val="20"/>
                <w:szCs w:val="20"/>
                <w:lang w:eastAsia="pt-BR"/>
              </w:rPr>
            </w:pPr>
            <w:r w:rsidRPr="00A76E8E">
              <w:rPr>
                <w:rFonts w:ascii="Arial" w:hAnsi="Arial" w:cs="Arial"/>
                <w:color w:val="000000"/>
                <w:sz w:val="20"/>
                <w:szCs w:val="20"/>
                <w:lang w:eastAsia="pt-BR"/>
              </w:rPr>
              <w:t>17,76</w:t>
            </w:r>
          </w:p>
        </w:tc>
        <w:tc>
          <w:tcPr>
            <w:tcW w:w="1480" w:type="dxa"/>
            <w:tcBorders>
              <w:top w:val="nil"/>
              <w:left w:val="nil"/>
              <w:bottom w:val="single" w:sz="4" w:space="0" w:color="auto"/>
              <w:right w:val="single" w:sz="8" w:space="0" w:color="auto"/>
            </w:tcBorders>
            <w:vAlign w:val="center"/>
          </w:tcPr>
          <w:p w:rsidR="00E25AC7" w:rsidRPr="00A76E8E" w:rsidRDefault="00E25AC7" w:rsidP="00A76E8E">
            <w:pPr>
              <w:spacing w:after="0" w:line="240" w:lineRule="auto"/>
              <w:jc w:val="center"/>
              <w:rPr>
                <w:rFonts w:ascii="Arial" w:hAnsi="Arial" w:cs="Arial"/>
                <w:color w:val="000000"/>
                <w:sz w:val="20"/>
                <w:szCs w:val="20"/>
                <w:lang w:eastAsia="pt-BR"/>
              </w:rPr>
            </w:pPr>
            <w:r w:rsidRPr="00A76E8E">
              <w:rPr>
                <w:rFonts w:ascii="Arial" w:hAnsi="Arial" w:cs="Arial"/>
                <w:color w:val="000000"/>
                <w:sz w:val="20"/>
                <w:szCs w:val="20"/>
                <w:lang w:eastAsia="pt-BR"/>
              </w:rPr>
              <w:t>Cumpriu</w:t>
            </w:r>
          </w:p>
        </w:tc>
      </w:tr>
      <w:tr w:rsidR="00E25AC7" w:rsidRPr="008313B9" w:rsidTr="00A76E8E">
        <w:trPr>
          <w:trHeight w:val="288"/>
          <w:jc w:val="center"/>
        </w:trPr>
        <w:tc>
          <w:tcPr>
            <w:tcW w:w="1220" w:type="dxa"/>
            <w:tcBorders>
              <w:top w:val="nil"/>
              <w:left w:val="single" w:sz="8" w:space="0" w:color="auto"/>
              <w:bottom w:val="single" w:sz="4" w:space="0" w:color="auto"/>
              <w:right w:val="single" w:sz="4" w:space="0" w:color="auto"/>
            </w:tcBorders>
            <w:vAlign w:val="center"/>
          </w:tcPr>
          <w:p w:rsidR="00E25AC7" w:rsidRPr="00A76E8E" w:rsidRDefault="00E25AC7" w:rsidP="00A76E8E">
            <w:pPr>
              <w:spacing w:after="0" w:line="240" w:lineRule="auto"/>
              <w:jc w:val="center"/>
              <w:rPr>
                <w:rFonts w:ascii="Arial" w:hAnsi="Arial" w:cs="Arial"/>
                <w:color w:val="000000"/>
                <w:sz w:val="20"/>
                <w:szCs w:val="20"/>
                <w:lang w:eastAsia="pt-BR"/>
              </w:rPr>
            </w:pPr>
            <w:r w:rsidRPr="00A76E8E">
              <w:rPr>
                <w:rFonts w:ascii="Arial" w:hAnsi="Arial" w:cs="Arial"/>
                <w:color w:val="000000"/>
                <w:sz w:val="20"/>
                <w:szCs w:val="20"/>
                <w:lang w:eastAsia="pt-BR"/>
              </w:rPr>
              <w:t>2006</w:t>
            </w:r>
          </w:p>
        </w:tc>
        <w:tc>
          <w:tcPr>
            <w:tcW w:w="2620" w:type="dxa"/>
            <w:tcBorders>
              <w:top w:val="nil"/>
              <w:left w:val="nil"/>
              <w:bottom w:val="single" w:sz="4" w:space="0" w:color="auto"/>
              <w:right w:val="single" w:sz="4" w:space="0" w:color="auto"/>
            </w:tcBorders>
            <w:vAlign w:val="center"/>
          </w:tcPr>
          <w:p w:rsidR="00E25AC7" w:rsidRPr="00A76E8E" w:rsidRDefault="00E25AC7" w:rsidP="00A76E8E">
            <w:pPr>
              <w:spacing w:after="0" w:line="240" w:lineRule="auto"/>
              <w:jc w:val="center"/>
              <w:rPr>
                <w:rFonts w:ascii="Arial" w:hAnsi="Arial" w:cs="Arial"/>
                <w:color w:val="000000"/>
                <w:sz w:val="20"/>
                <w:szCs w:val="20"/>
                <w:lang w:eastAsia="pt-BR"/>
              </w:rPr>
            </w:pPr>
            <w:r w:rsidRPr="00A76E8E">
              <w:rPr>
                <w:rFonts w:ascii="Arial" w:hAnsi="Arial" w:cs="Arial"/>
                <w:color w:val="000000"/>
                <w:sz w:val="20"/>
                <w:szCs w:val="20"/>
                <w:lang w:eastAsia="pt-BR"/>
              </w:rPr>
              <w:t>30.710.883,17</w:t>
            </w:r>
          </w:p>
        </w:tc>
        <w:tc>
          <w:tcPr>
            <w:tcW w:w="1280" w:type="dxa"/>
            <w:tcBorders>
              <w:top w:val="nil"/>
              <w:left w:val="nil"/>
              <w:bottom w:val="single" w:sz="4" w:space="0" w:color="auto"/>
              <w:right w:val="single" w:sz="4" w:space="0" w:color="auto"/>
            </w:tcBorders>
            <w:vAlign w:val="center"/>
          </w:tcPr>
          <w:p w:rsidR="00E25AC7" w:rsidRPr="00A76E8E" w:rsidRDefault="00E25AC7" w:rsidP="00A76E8E">
            <w:pPr>
              <w:spacing w:after="0" w:line="240" w:lineRule="auto"/>
              <w:jc w:val="center"/>
              <w:rPr>
                <w:rFonts w:ascii="Arial" w:hAnsi="Arial" w:cs="Arial"/>
                <w:color w:val="000000"/>
                <w:sz w:val="20"/>
                <w:szCs w:val="20"/>
                <w:lang w:eastAsia="pt-BR"/>
              </w:rPr>
            </w:pPr>
            <w:r w:rsidRPr="00A76E8E">
              <w:rPr>
                <w:rFonts w:ascii="Arial" w:hAnsi="Arial" w:cs="Arial"/>
                <w:color w:val="000000"/>
                <w:sz w:val="20"/>
                <w:szCs w:val="20"/>
                <w:lang w:eastAsia="pt-BR"/>
              </w:rPr>
              <w:t>17,33</w:t>
            </w:r>
          </w:p>
        </w:tc>
        <w:tc>
          <w:tcPr>
            <w:tcW w:w="1480" w:type="dxa"/>
            <w:tcBorders>
              <w:top w:val="nil"/>
              <w:left w:val="nil"/>
              <w:bottom w:val="single" w:sz="4" w:space="0" w:color="auto"/>
              <w:right w:val="single" w:sz="8" w:space="0" w:color="auto"/>
            </w:tcBorders>
            <w:vAlign w:val="center"/>
          </w:tcPr>
          <w:p w:rsidR="00E25AC7" w:rsidRPr="00A76E8E" w:rsidRDefault="00E25AC7" w:rsidP="00A76E8E">
            <w:pPr>
              <w:spacing w:after="0" w:line="240" w:lineRule="auto"/>
              <w:jc w:val="center"/>
              <w:rPr>
                <w:rFonts w:ascii="Arial" w:hAnsi="Arial" w:cs="Arial"/>
                <w:color w:val="000000"/>
                <w:sz w:val="20"/>
                <w:szCs w:val="20"/>
                <w:lang w:eastAsia="pt-BR"/>
              </w:rPr>
            </w:pPr>
            <w:r w:rsidRPr="00A76E8E">
              <w:rPr>
                <w:rFonts w:ascii="Arial" w:hAnsi="Arial" w:cs="Arial"/>
                <w:color w:val="000000"/>
                <w:sz w:val="20"/>
                <w:szCs w:val="20"/>
                <w:lang w:eastAsia="pt-BR"/>
              </w:rPr>
              <w:t>Cumpriu</w:t>
            </w:r>
          </w:p>
        </w:tc>
      </w:tr>
      <w:tr w:rsidR="00E25AC7" w:rsidRPr="008313B9" w:rsidTr="00A76E8E">
        <w:trPr>
          <w:trHeight w:val="288"/>
          <w:jc w:val="center"/>
        </w:trPr>
        <w:tc>
          <w:tcPr>
            <w:tcW w:w="1220" w:type="dxa"/>
            <w:tcBorders>
              <w:top w:val="nil"/>
              <w:left w:val="single" w:sz="8" w:space="0" w:color="auto"/>
              <w:bottom w:val="single" w:sz="4" w:space="0" w:color="auto"/>
              <w:right w:val="single" w:sz="4" w:space="0" w:color="auto"/>
            </w:tcBorders>
            <w:vAlign w:val="center"/>
          </w:tcPr>
          <w:p w:rsidR="00E25AC7" w:rsidRPr="00A76E8E" w:rsidRDefault="00E25AC7" w:rsidP="00A76E8E">
            <w:pPr>
              <w:spacing w:after="0" w:line="240" w:lineRule="auto"/>
              <w:jc w:val="center"/>
              <w:rPr>
                <w:rFonts w:ascii="Arial" w:hAnsi="Arial" w:cs="Arial"/>
                <w:color w:val="000000"/>
                <w:sz w:val="20"/>
                <w:szCs w:val="20"/>
                <w:lang w:eastAsia="pt-BR"/>
              </w:rPr>
            </w:pPr>
            <w:r w:rsidRPr="00A76E8E">
              <w:rPr>
                <w:rFonts w:ascii="Arial" w:hAnsi="Arial" w:cs="Arial"/>
                <w:color w:val="000000"/>
                <w:sz w:val="20"/>
                <w:szCs w:val="20"/>
                <w:lang w:eastAsia="pt-BR"/>
              </w:rPr>
              <w:t>2007</w:t>
            </w:r>
          </w:p>
        </w:tc>
        <w:tc>
          <w:tcPr>
            <w:tcW w:w="2620" w:type="dxa"/>
            <w:tcBorders>
              <w:top w:val="nil"/>
              <w:left w:val="nil"/>
              <w:bottom w:val="single" w:sz="4" w:space="0" w:color="auto"/>
              <w:right w:val="single" w:sz="4" w:space="0" w:color="auto"/>
            </w:tcBorders>
            <w:vAlign w:val="center"/>
          </w:tcPr>
          <w:p w:rsidR="00E25AC7" w:rsidRPr="00A76E8E" w:rsidRDefault="00E25AC7" w:rsidP="00A76E8E">
            <w:pPr>
              <w:spacing w:after="0" w:line="240" w:lineRule="auto"/>
              <w:jc w:val="center"/>
              <w:rPr>
                <w:rFonts w:ascii="Arial" w:hAnsi="Arial" w:cs="Arial"/>
                <w:color w:val="000000"/>
                <w:sz w:val="20"/>
                <w:szCs w:val="20"/>
                <w:lang w:eastAsia="pt-BR"/>
              </w:rPr>
            </w:pPr>
            <w:r w:rsidRPr="00A76E8E">
              <w:rPr>
                <w:rFonts w:ascii="Arial" w:hAnsi="Arial" w:cs="Arial"/>
                <w:color w:val="000000"/>
                <w:sz w:val="20"/>
                <w:szCs w:val="20"/>
                <w:lang w:eastAsia="pt-BR"/>
              </w:rPr>
              <w:t>30.915.194,03</w:t>
            </w:r>
          </w:p>
        </w:tc>
        <w:tc>
          <w:tcPr>
            <w:tcW w:w="1280" w:type="dxa"/>
            <w:tcBorders>
              <w:top w:val="nil"/>
              <w:left w:val="nil"/>
              <w:bottom w:val="single" w:sz="4" w:space="0" w:color="auto"/>
              <w:right w:val="single" w:sz="4" w:space="0" w:color="auto"/>
            </w:tcBorders>
            <w:vAlign w:val="center"/>
          </w:tcPr>
          <w:p w:rsidR="00E25AC7" w:rsidRPr="00A76E8E" w:rsidRDefault="00E25AC7" w:rsidP="00A76E8E">
            <w:pPr>
              <w:spacing w:after="0" w:line="240" w:lineRule="auto"/>
              <w:jc w:val="center"/>
              <w:rPr>
                <w:rFonts w:ascii="Arial" w:hAnsi="Arial" w:cs="Arial"/>
                <w:color w:val="000000"/>
                <w:sz w:val="20"/>
                <w:szCs w:val="20"/>
                <w:lang w:eastAsia="pt-BR"/>
              </w:rPr>
            </w:pPr>
            <w:r w:rsidRPr="00A76E8E">
              <w:rPr>
                <w:rFonts w:ascii="Arial" w:hAnsi="Arial" w:cs="Arial"/>
                <w:color w:val="000000"/>
                <w:sz w:val="20"/>
                <w:szCs w:val="20"/>
                <w:lang w:eastAsia="pt-BR"/>
              </w:rPr>
              <w:t>15,85</w:t>
            </w:r>
          </w:p>
        </w:tc>
        <w:tc>
          <w:tcPr>
            <w:tcW w:w="1480" w:type="dxa"/>
            <w:tcBorders>
              <w:top w:val="nil"/>
              <w:left w:val="nil"/>
              <w:bottom w:val="single" w:sz="4" w:space="0" w:color="auto"/>
              <w:right w:val="single" w:sz="8" w:space="0" w:color="auto"/>
            </w:tcBorders>
            <w:vAlign w:val="center"/>
          </w:tcPr>
          <w:p w:rsidR="00E25AC7" w:rsidRPr="00A76E8E" w:rsidRDefault="00E25AC7" w:rsidP="00A76E8E">
            <w:pPr>
              <w:spacing w:after="0" w:line="240" w:lineRule="auto"/>
              <w:jc w:val="center"/>
              <w:rPr>
                <w:rFonts w:ascii="Arial" w:hAnsi="Arial" w:cs="Arial"/>
                <w:color w:val="000000"/>
                <w:sz w:val="20"/>
                <w:szCs w:val="20"/>
                <w:lang w:eastAsia="pt-BR"/>
              </w:rPr>
            </w:pPr>
            <w:r w:rsidRPr="00A76E8E">
              <w:rPr>
                <w:rFonts w:ascii="Arial" w:hAnsi="Arial" w:cs="Arial"/>
                <w:color w:val="000000"/>
                <w:sz w:val="20"/>
                <w:szCs w:val="20"/>
                <w:lang w:eastAsia="pt-BR"/>
              </w:rPr>
              <w:t>Cumpriu</w:t>
            </w:r>
          </w:p>
        </w:tc>
      </w:tr>
      <w:tr w:rsidR="00E25AC7" w:rsidRPr="008313B9" w:rsidTr="00A76E8E">
        <w:trPr>
          <w:trHeight w:val="288"/>
          <w:jc w:val="center"/>
        </w:trPr>
        <w:tc>
          <w:tcPr>
            <w:tcW w:w="1220" w:type="dxa"/>
            <w:tcBorders>
              <w:top w:val="nil"/>
              <w:left w:val="single" w:sz="8" w:space="0" w:color="auto"/>
              <w:bottom w:val="single" w:sz="4" w:space="0" w:color="auto"/>
              <w:right w:val="single" w:sz="4" w:space="0" w:color="auto"/>
            </w:tcBorders>
            <w:vAlign w:val="center"/>
          </w:tcPr>
          <w:p w:rsidR="00E25AC7" w:rsidRPr="00A76E8E" w:rsidRDefault="00E25AC7" w:rsidP="00A76E8E">
            <w:pPr>
              <w:spacing w:after="0" w:line="240" w:lineRule="auto"/>
              <w:jc w:val="center"/>
              <w:rPr>
                <w:rFonts w:ascii="Arial" w:hAnsi="Arial" w:cs="Arial"/>
                <w:color w:val="000000"/>
                <w:sz w:val="20"/>
                <w:szCs w:val="20"/>
                <w:lang w:eastAsia="pt-BR"/>
              </w:rPr>
            </w:pPr>
            <w:r w:rsidRPr="00A76E8E">
              <w:rPr>
                <w:rFonts w:ascii="Arial" w:hAnsi="Arial" w:cs="Arial"/>
                <w:color w:val="000000"/>
                <w:sz w:val="20"/>
                <w:szCs w:val="20"/>
                <w:lang w:eastAsia="pt-BR"/>
              </w:rPr>
              <w:t>2008</w:t>
            </w:r>
          </w:p>
        </w:tc>
        <w:tc>
          <w:tcPr>
            <w:tcW w:w="2620" w:type="dxa"/>
            <w:tcBorders>
              <w:top w:val="nil"/>
              <w:left w:val="nil"/>
              <w:bottom w:val="single" w:sz="4" w:space="0" w:color="auto"/>
              <w:right w:val="single" w:sz="4" w:space="0" w:color="auto"/>
            </w:tcBorders>
            <w:vAlign w:val="center"/>
          </w:tcPr>
          <w:p w:rsidR="00E25AC7" w:rsidRPr="00A76E8E" w:rsidRDefault="00E25AC7" w:rsidP="00A76E8E">
            <w:pPr>
              <w:spacing w:after="0" w:line="240" w:lineRule="auto"/>
              <w:jc w:val="center"/>
              <w:rPr>
                <w:rFonts w:ascii="Arial" w:hAnsi="Arial" w:cs="Arial"/>
                <w:color w:val="000000"/>
                <w:sz w:val="20"/>
                <w:szCs w:val="20"/>
                <w:lang w:eastAsia="pt-BR"/>
              </w:rPr>
            </w:pPr>
            <w:r w:rsidRPr="00A76E8E">
              <w:rPr>
                <w:rFonts w:ascii="Arial" w:hAnsi="Arial" w:cs="Arial"/>
                <w:color w:val="000000"/>
                <w:sz w:val="20"/>
                <w:szCs w:val="20"/>
                <w:lang w:eastAsia="pt-BR"/>
              </w:rPr>
              <w:t>41.170.428,89</w:t>
            </w:r>
          </w:p>
        </w:tc>
        <w:tc>
          <w:tcPr>
            <w:tcW w:w="1280" w:type="dxa"/>
            <w:tcBorders>
              <w:top w:val="nil"/>
              <w:left w:val="nil"/>
              <w:bottom w:val="single" w:sz="4" w:space="0" w:color="auto"/>
              <w:right w:val="single" w:sz="4" w:space="0" w:color="auto"/>
            </w:tcBorders>
            <w:vAlign w:val="center"/>
          </w:tcPr>
          <w:p w:rsidR="00E25AC7" w:rsidRPr="00A76E8E" w:rsidRDefault="00E25AC7" w:rsidP="00A76E8E">
            <w:pPr>
              <w:spacing w:after="0" w:line="240" w:lineRule="auto"/>
              <w:jc w:val="center"/>
              <w:rPr>
                <w:rFonts w:ascii="Arial" w:hAnsi="Arial" w:cs="Arial"/>
                <w:color w:val="000000"/>
                <w:sz w:val="20"/>
                <w:szCs w:val="20"/>
                <w:lang w:eastAsia="pt-BR"/>
              </w:rPr>
            </w:pPr>
            <w:r w:rsidRPr="00A76E8E">
              <w:rPr>
                <w:rFonts w:ascii="Arial" w:hAnsi="Arial" w:cs="Arial"/>
                <w:color w:val="000000"/>
                <w:sz w:val="20"/>
                <w:szCs w:val="20"/>
                <w:lang w:eastAsia="pt-BR"/>
              </w:rPr>
              <w:t>17,66</w:t>
            </w:r>
          </w:p>
        </w:tc>
        <w:tc>
          <w:tcPr>
            <w:tcW w:w="1480" w:type="dxa"/>
            <w:tcBorders>
              <w:top w:val="nil"/>
              <w:left w:val="nil"/>
              <w:bottom w:val="single" w:sz="4" w:space="0" w:color="auto"/>
              <w:right w:val="single" w:sz="8" w:space="0" w:color="auto"/>
            </w:tcBorders>
            <w:vAlign w:val="center"/>
          </w:tcPr>
          <w:p w:rsidR="00E25AC7" w:rsidRPr="00A76E8E" w:rsidRDefault="00E25AC7" w:rsidP="00A76E8E">
            <w:pPr>
              <w:spacing w:after="0" w:line="240" w:lineRule="auto"/>
              <w:jc w:val="center"/>
              <w:rPr>
                <w:rFonts w:ascii="Arial" w:hAnsi="Arial" w:cs="Arial"/>
                <w:color w:val="000000"/>
                <w:sz w:val="20"/>
                <w:szCs w:val="20"/>
                <w:lang w:eastAsia="pt-BR"/>
              </w:rPr>
            </w:pPr>
            <w:r w:rsidRPr="00A76E8E">
              <w:rPr>
                <w:rFonts w:ascii="Arial" w:hAnsi="Arial" w:cs="Arial"/>
                <w:color w:val="000000"/>
                <w:sz w:val="20"/>
                <w:szCs w:val="20"/>
                <w:lang w:eastAsia="pt-BR"/>
              </w:rPr>
              <w:t>Cumpriu</w:t>
            </w:r>
          </w:p>
        </w:tc>
      </w:tr>
      <w:tr w:rsidR="00E25AC7" w:rsidRPr="008313B9" w:rsidTr="00A76E8E">
        <w:trPr>
          <w:trHeight w:val="288"/>
          <w:jc w:val="center"/>
        </w:trPr>
        <w:tc>
          <w:tcPr>
            <w:tcW w:w="1220" w:type="dxa"/>
            <w:tcBorders>
              <w:top w:val="nil"/>
              <w:left w:val="single" w:sz="8" w:space="0" w:color="auto"/>
              <w:bottom w:val="single" w:sz="4" w:space="0" w:color="auto"/>
              <w:right w:val="single" w:sz="4" w:space="0" w:color="auto"/>
            </w:tcBorders>
            <w:vAlign w:val="center"/>
          </w:tcPr>
          <w:p w:rsidR="00E25AC7" w:rsidRPr="00A76E8E" w:rsidRDefault="00E25AC7" w:rsidP="00A76E8E">
            <w:pPr>
              <w:spacing w:after="0" w:line="240" w:lineRule="auto"/>
              <w:jc w:val="center"/>
              <w:rPr>
                <w:rFonts w:ascii="Arial" w:hAnsi="Arial" w:cs="Arial"/>
                <w:color w:val="000000"/>
                <w:sz w:val="20"/>
                <w:szCs w:val="20"/>
                <w:lang w:eastAsia="pt-BR"/>
              </w:rPr>
            </w:pPr>
            <w:r w:rsidRPr="00A76E8E">
              <w:rPr>
                <w:rFonts w:ascii="Arial" w:hAnsi="Arial" w:cs="Arial"/>
                <w:color w:val="000000"/>
                <w:sz w:val="20"/>
                <w:szCs w:val="20"/>
                <w:lang w:eastAsia="pt-BR"/>
              </w:rPr>
              <w:t>2009</w:t>
            </w:r>
          </w:p>
        </w:tc>
        <w:tc>
          <w:tcPr>
            <w:tcW w:w="2620" w:type="dxa"/>
            <w:tcBorders>
              <w:top w:val="nil"/>
              <w:left w:val="nil"/>
              <w:bottom w:val="single" w:sz="4" w:space="0" w:color="auto"/>
              <w:right w:val="single" w:sz="4" w:space="0" w:color="auto"/>
            </w:tcBorders>
            <w:vAlign w:val="center"/>
          </w:tcPr>
          <w:p w:rsidR="00E25AC7" w:rsidRPr="00A76E8E" w:rsidRDefault="00E25AC7" w:rsidP="00A76E8E">
            <w:pPr>
              <w:spacing w:after="0" w:line="240" w:lineRule="auto"/>
              <w:jc w:val="center"/>
              <w:rPr>
                <w:rFonts w:ascii="Arial" w:hAnsi="Arial" w:cs="Arial"/>
                <w:color w:val="000000"/>
                <w:sz w:val="20"/>
                <w:szCs w:val="20"/>
                <w:lang w:eastAsia="pt-BR"/>
              </w:rPr>
            </w:pPr>
            <w:r w:rsidRPr="00A76E8E">
              <w:rPr>
                <w:rFonts w:ascii="Arial" w:hAnsi="Arial" w:cs="Arial"/>
                <w:color w:val="000000"/>
                <w:sz w:val="20"/>
                <w:szCs w:val="20"/>
                <w:lang w:eastAsia="pt-BR"/>
              </w:rPr>
              <w:t>47.500.953,40</w:t>
            </w:r>
          </w:p>
        </w:tc>
        <w:tc>
          <w:tcPr>
            <w:tcW w:w="1280" w:type="dxa"/>
            <w:tcBorders>
              <w:top w:val="nil"/>
              <w:left w:val="nil"/>
              <w:bottom w:val="single" w:sz="4" w:space="0" w:color="auto"/>
              <w:right w:val="single" w:sz="4" w:space="0" w:color="auto"/>
            </w:tcBorders>
            <w:vAlign w:val="center"/>
          </w:tcPr>
          <w:p w:rsidR="00E25AC7" w:rsidRPr="00A76E8E" w:rsidRDefault="00E25AC7" w:rsidP="00A76E8E">
            <w:pPr>
              <w:spacing w:after="0" w:line="240" w:lineRule="auto"/>
              <w:jc w:val="center"/>
              <w:rPr>
                <w:rFonts w:ascii="Arial" w:hAnsi="Arial" w:cs="Arial"/>
                <w:color w:val="000000"/>
                <w:sz w:val="20"/>
                <w:szCs w:val="20"/>
                <w:lang w:eastAsia="pt-BR"/>
              </w:rPr>
            </w:pPr>
            <w:r w:rsidRPr="00A76E8E">
              <w:rPr>
                <w:rFonts w:ascii="Arial" w:hAnsi="Arial" w:cs="Arial"/>
                <w:color w:val="000000"/>
                <w:sz w:val="20"/>
                <w:szCs w:val="20"/>
                <w:lang w:eastAsia="pt-BR"/>
              </w:rPr>
              <w:t>19,43</w:t>
            </w:r>
          </w:p>
        </w:tc>
        <w:tc>
          <w:tcPr>
            <w:tcW w:w="1480" w:type="dxa"/>
            <w:tcBorders>
              <w:top w:val="nil"/>
              <w:left w:val="nil"/>
              <w:bottom w:val="single" w:sz="4" w:space="0" w:color="auto"/>
              <w:right w:val="single" w:sz="8" w:space="0" w:color="auto"/>
            </w:tcBorders>
            <w:vAlign w:val="center"/>
          </w:tcPr>
          <w:p w:rsidR="00E25AC7" w:rsidRPr="00A76E8E" w:rsidRDefault="00E25AC7" w:rsidP="00A76E8E">
            <w:pPr>
              <w:spacing w:after="0" w:line="240" w:lineRule="auto"/>
              <w:jc w:val="center"/>
              <w:rPr>
                <w:rFonts w:ascii="Arial" w:hAnsi="Arial" w:cs="Arial"/>
                <w:color w:val="000000"/>
                <w:sz w:val="20"/>
                <w:szCs w:val="20"/>
                <w:lang w:eastAsia="pt-BR"/>
              </w:rPr>
            </w:pPr>
            <w:r w:rsidRPr="00A76E8E">
              <w:rPr>
                <w:rFonts w:ascii="Arial" w:hAnsi="Arial" w:cs="Arial"/>
                <w:color w:val="000000"/>
                <w:sz w:val="20"/>
                <w:szCs w:val="20"/>
                <w:lang w:eastAsia="pt-BR"/>
              </w:rPr>
              <w:t>Cumpriu</w:t>
            </w:r>
          </w:p>
        </w:tc>
      </w:tr>
      <w:tr w:rsidR="00E25AC7" w:rsidRPr="008313B9" w:rsidTr="00A76E8E">
        <w:trPr>
          <w:trHeight w:val="300"/>
          <w:jc w:val="center"/>
        </w:trPr>
        <w:tc>
          <w:tcPr>
            <w:tcW w:w="1220" w:type="dxa"/>
            <w:tcBorders>
              <w:top w:val="nil"/>
              <w:left w:val="single" w:sz="8" w:space="0" w:color="auto"/>
              <w:bottom w:val="single" w:sz="8" w:space="0" w:color="auto"/>
              <w:right w:val="single" w:sz="4" w:space="0" w:color="auto"/>
            </w:tcBorders>
            <w:vAlign w:val="center"/>
          </w:tcPr>
          <w:p w:rsidR="00E25AC7" w:rsidRPr="00A76E8E" w:rsidRDefault="00E25AC7" w:rsidP="00A76E8E">
            <w:pPr>
              <w:spacing w:after="0" w:line="240" w:lineRule="auto"/>
              <w:jc w:val="center"/>
              <w:rPr>
                <w:rFonts w:ascii="Arial" w:hAnsi="Arial" w:cs="Arial"/>
                <w:color w:val="000000"/>
                <w:sz w:val="20"/>
                <w:szCs w:val="20"/>
                <w:lang w:eastAsia="pt-BR"/>
              </w:rPr>
            </w:pPr>
            <w:r w:rsidRPr="00A76E8E">
              <w:rPr>
                <w:rFonts w:ascii="Arial" w:hAnsi="Arial" w:cs="Arial"/>
                <w:color w:val="000000"/>
                <w:sz w:val="20"/>
                <w:szCs w:val="20"/>
                <w:lang w:eastAsia="pt-BR"/>
              </w:rPr>
              <w:t>2010</w:t>
            </w:r>
          </w:p>
        </w:tc>
        <w:tc>
          <w:tcPr>
            <w:tcW w:w="2620" w:type="dxa"/>
            <w:tcBorders>
              <w:top w:val="nil"/>
              <w:left w:val="nil"/>
              <w:bottom w:val="single" w:sz="8" w:space="0" w:color="auto"/>
              <w:right w:val="single" w:sz="4" w:space="0" w:color="auto"/>
            </w:tcBorders>
            <w:vAlign w:val="center"/>
          </w:tcPr>
          <w:p w:rsidR="00E25AC7" w:rsidRPr="00A76E8E" w:rsidRDefault="00E25AC7" w:rsidP="00A76E8E">
            <w:pPr>
              <w:spacing w:after="0" w:line="240" w:lineRule="auto"/>
              <w:jc w:val="center"/>
              <w:rPr>
                <w:rFonts w:ascii="Arial" w:hAnsi="Arial" w:cs="Arial"/>
                <w:color w:val="000000"/>
                <w:sz w:val="20"/>
                <w:szCs w:val="20"/>
                <w:lang w:eastAsia="pt-BR"/>
              </w:rPr>
            </w:pPr>
            <w:r w:rsidRPr="00A76E8E">
              <w:rPr>
                <w:rFonts w:ascii="Arial" w:hAnsi="Arial" w:cs="Arial"/>
                <w:color w:val="000000"/>
                <w:sz w:val="20"/>
                <w:szCs w:val="20"/>
                <w:lang w:eastAsia="pt-BR"/>
              </w:rPr>
              <w:t>50.626.269,69</w:t>
            </w:r>
          </w:p>
        </w:tc>
        <w:tc>
          <w:tcPr>
            <w:tcW w:w="1280" w:type="dxa"/>
            <w:tcBorders>
              <w:top w:val="nil"/>
              <w:left w:val="nil"/>
              <w:bottom w:val="single" w:sz="8" w:space="0" w:color="auto"/>
              <w:right w:val="single" w:sz="4" w:space="0" w:color="auto"/>
            </w:tcBorders>
            <w:vAlign w:val="center"/>
          </w:tcPr>
          <w:p w:rsidR="00E25AC7" w:rsidRPr="00A76E8E" w:rsidRDefault="00E25AC7" w:rsidP="00A76E8E">
            <w:pPr>
              <w:spacing w:after="0" w:line="240" w:lineRule="auto"/>
              <w:jc w:val="center"/>
              <w:rPr>
                <w:rFonts w:ascii="Arial" w:hAnsi="Arial" w:cs="Arial"/>
                <w:color w:val="000000"/>
                <w:sz w:val="20"/>
                <w:szCs w:val="20"/>
                <w:lang w:eastAsia="pt-BR"/>
              </w:rPr>
            </w:pPr>
            <w:r w:rsidRPr="00A76E8E">
              <w:rPr>
                <w:rFonts w:ascii="Arial" w:hAnsi="Arial" w:cs="Arial"/>
                <w:color w:val="000000"/>
                <w:sz w:val="20"/>
                <w:szCs w:val="20"/>
                <w:lang w:eastAsia="pt-BR"/>
              </w:rPr>
              <w:t>16,49</w:t>
            </w:r>
          </w:p>
        </w:tc>
        <w:tc>
          <w:tcPr>
            <w:tcW w:w="1480" w:type="dxa"/>
            <w:tcBorders>
              <w:top w:val="nil"/>
              <w:left w:val="nil"/>
              <w:bottom w:val="single" w:sz="8" w:space="0" w:color="auto"/>
              <w:right w:val="single" w:sz="8" w:space="0" w:color="auto"/>
            </w:tcBorders>
            <w:vAlign w:val="center"/>
          </w:tcPr>
          <w:p w:rsidR="00E25AC7" w:rsidRPr="00A76E8E" w:rsidRDefault="00E25AC7" w:rsidP="00A76E8E">
            <w:pPr>
              <w:spacing w:after="0" w:line="240" w:lineRule="auto"/>
              <w:jc w:val="center"/>
              <w:rPr>
                <w:rFonts w:ascii="Arial" w:hAnsi="Arial" w:cs="Arial"/>
                <w:color w:val="000000"/>
                <w:sz w:val="20"/>
                <w:szCs w:val="20"/>
                <w:lang w:eastAsia="pt-BR"/>
              </w:rPr>
            </w:pPr>
            <w:r w:rsidRPr="00A76E8E">
              <w:rPr>
                <w:rFonts w:ascii="Arial" w:hAnsi="Arial" w:cs="Arial"/>
                <w:color w:val="000000"/>
                <w:sz w:val="20"/>
                <w:szCs w:val="20"/>
                <w:lang w:eastAsia="pt-BR"/>
              </w:rPr>
              <w:t>Cumpriu</w:t>
            </w:r>
          </w:p>
        </w:tc>
      </w:tr>
    </w:tbl>
    <w:p w:rsidR="00E25AC7" w:rsidRPr="000975DB" w:rsidRDefault="00E25AC7" w:rsidP="00DE4A7C">
      <w:pPr>
        <w:spacing w:after="0" w:line="360" w:lineRule="auto"/>
        <w:jc w:val="center"/>
        <w:rPr>
          <w:rFonts w:ascii="Arial" w:hAnsi="Arial" w:cs="Arial"/>
          <w:lang w:eastAsia="pt-BR"/>
        </w:rPr>
      </w:pPr>
      <w:r w:rsidRPr="000975DB">
        <w:rPr>
          <w:rFonts w:ascii="Arial" w:hAnsi="Arial" w:cs="Arial"/>
          <w:lang w:eastAsia="pt-BR"/>
        </w:rPr>
        <w:t>Fonte: elaborado pelos autores com base em TCE/SC</w:t>
      </w:r>
      <w:r>
        <w:rPr>
          <w:rFonts w:ascii="Arial" w:hAnsi="Arial" w:cs="Arial"/>
          <w:lang w:eastAsia="pt-BR"/>
        </w:rPr>
        <w:t>, SIOPS</w:t>
      </w:r>
      <w:r w:rsidRPr="000975DB">
        <w:rPr>
          <w:rFonts w:ascii="Arial" w:hAnsi="Arial" w:cs="Arial"/>
          <w:lang w:eastAsia="pt-BR"/>
        </w:rPr>
        <w:t xml:space="preserve"> (2012).</w:t>
      </w:r>
    </w:p>
    <w:p w:rsidR="00E25AC7" w:rsidRDefault="00E25AC7" w:rsidP="00DE4A7C">
      <w:pPr>
        <w:spacing w:after="0" w:line="360" w:lineRule="auto"/>
        <w:rPr>
          <w:rFonts w:ascii="Arial" w:hAnsi="Arial" w:cs="Arial"/>
          <w:sz w:val="24"/>
          <w:szCs w:val="24"/>
          <w:lang w:eastAsia="pt-BR"/>
        </w:rPr>
      </w:pPr>
    </w:p>
    <w:p w:rsidR="00E25AC7" w:rsidRPr="00572CDF" w:rsidRDefault="00E25AC7" w:rsidP="00AF109D">
      <w:pPr>
        <w:spacing w:after="0" w:line="360" w:lineRule="auto"/>
        <w:ind w:firstLine="720"/>
        <w:jc w:val="both"/>
        <w:rPr>
          <w:rFonts w:ascii="Arial" w:hAnsi="Arial" w:cs="Arial"/>
          <w:sz w:val="24"/>
          <w:szCs w:val="24"/>
          <w:lang w:eastAsia="pt-BR"/>
        </w:rPr>
      </w:pPr>
      <w:r w:rsidRPr="00AF109D">
        <w:rPr>
          <w:rFonts w:ascii="Arial" w:hAnsi="Arial" w:cs="Arial"/>
          <w:sz w:val="24"/>
          <w:szCs w:val="24"/>
          <w:lang w:eastAsia="pt-BR"/>
        </w:rPr>
        <w:t>Verifica-se que o município de Itajaí, gradativamente, desde 2004 vem aumentando o percentual de recursos próprios empreg</w:t>
      </w:r>
      <w:r>
        <w:rPr>
          <w:rFonts w:ascii="Arial" w:hAnsi="Arial" w:cs="Arial"/>
          <w:sz w:val="24"/>
          <w:szCs w:val="24"/>
          <w:lang w:eastAsia="pt-BR"/>
        </w:rPr>
        <w:t>ad</w:t>
      </w:r>
      <w:r w:rsidRPr="00AF109D">
        <w:rPr>
          <w:rFonts w:ascii="Arial" w:hAnsi="Arial" w:cs="Arial"/>
          <w:sz w:val="24"/>
          <w:szCs w:val="24"/>
          <w:lang w:eastAsia="pt-BR"/>
        </w:rPr>
        <w:t xml:space="preserve">os na saúde, sendo o ano de 2010 o melhor de todos os anos. Neste sentido pode-se considerar que este vem </w:t>
      </w:r>
      <w:r w:rsidRPr="00AF109D">
        <w:rPr>
          <w:rFonts w:ascii="Arial" w:hAnsi="Arial" w:cs="Arial"/>
          <w:sz w:val="24"/>
          <w:szCs w:val="24"/>
          <w:lang w:eastAsia="pt-BR"/>
        </w:rPr>
        <w:lastRenderedPageBreak/>
        <w:t>dando maior atenção a população atendida pelo SUS, no que tange a aplicação dos recursos do âmbito municipal.</w:t>
      </w:r>
    </w:p>
    <w:p w:rsidR="00E25AC7" w:rsidRPr="00AF109D" w:rsidRDefault="00E25AC7" w:rsidP="00AF109D">
      <w:pPr>
        <w:spacing w:after="0" w:line="360" w:lineRule="auto"/>
        <w:ind w:firstLine="720"/>
        <w:jc w:val="both"/>
        <w:rPr>
          <w:rFonts w:ascii="Times New Roman" w:hAnsi="Times New Roman"/>
          <w:sz w:val="27"/>
          <w:szCs w:val="27"/>
          <w:lang w:eastAsia="pt-BR"/>
        </w:rPr>
      </w:pPr>
      <w:r>
        <w:rPr>
          <w:rFonts w:ascii="Arial" w:hAnsi="Arial" w:cs="Arial"/>
          <w:sz w:val="24"/>
          <w:szCs w:val="24"/>
          <w:lang w:eastAsia="pt-BR"/>
        </w:rPr>
        <w:t>Com relação aos Indicadores de Responsabilidade Fiscal, p</w:t>
      </w:r>
      <w:r w:rsidRPr="00452ADD">
        <w:rPr>
          <w:rFonts w:ascii="Arial" w:hAnsi="Arial" w:cs="Arial"/>
          <w:sz w:val="24"/>
          <w:szCs w:val="24"/>
          <w:lang w:eastAsia="pt-BR"/>
        </w:rPr>
        <w:t xml:space="preserve">ode-se observar pelos dados do quadro </w:t>
      </w:r>
      <w:r>
        <w:rPr>
          <w:rFonts w:ascii="Arial" w:hAnsi="Arial" w:cs="Arial"/>
          <w:sz w:val="24"/>
          <w:szCs w:val="24"/>
          <w:lang w:eastAsia="pt-BR"/>
        </w:rPr>
        <w:t>3, 4 e 5</w:t>
      </w:r>
      <w:r w:rsidRPr="00452ADD">
        <w:rPr>
          <w:rFonts w:ascii="Arial" w:hAnsi="Arial" w:cs="Arial"/>
          <w:sz w:val="24"/>
          <w:szCs w:val="24"/>
          <w:lang w:eastAsia="pt-BR"/>
        </w:rPr>
        <w:t xml:space="preserve"> que no tocante aos últimos </w:t>
      </w:r>
      <w:r>
        <w:rPr>
          <w:rFonts w:ascii="Arial" w:hAnsi="Arial" w:cs="Arial"/>
          <w:sz w:val="24"/>
          <w:szCs w:val="24"/>
          <w:lang w:eastAsia="pt-BR"/>
        </w:rPr>
        <w:t xml:space="preserve">7 </w:t>
      </w:r>
      <w:r w:rsidRPr="00452ADD">
        <w:rPr>
          <w:rFonts w:ascii="Arial" w:hAnsi="Arial" w:cs="Arial"/>
          <w:sz w:val="24"/>
          <w:szCs w:val="24"/>
          <w:lang w:eastAsia="pt-BR"/>
        </w:rPr>
        <w:t>anos, os municípios estudados ficaram acima do 15% mínimo constitucional</w:t>
      </w:r>
      <w:r>
        <w:rPr>
          <w:rFonts w:ascii="Arial" w:hAnsi="Arial" w:cs="Arial"/>
          <w:sz w:val="24"/>
          <w:szCs w:val="24"/>
          <w:lang w:eastAsia="pt-BR"/>
        </w:rPr>
        <w:t>.</w:t>
      </w:r>
    </w:p>
    <w:p w:rsidR="00E25AC7" w:rsidRPr="00452ADD" w:rsidRDefault="00E25AC7" w:rsidP="00CF788C">
      <w:pPr>
        <w:spacing w:after="0" w:line="360" w:lineRule="auto"/>
        <w:ind w:firstLine="720"/>
        <w:jc w:val="both"/>
        <w:rPr>
          <w:rFonts w:ascii="Arial" w:hAnsi="Arial" w:cs="Arial"/>
          <w:sz w:val="24"/>
          <w:szCs w:val="24"/>
          <w:lang w:eastAsia="pt-BR"/>
        </w:rPr>
      </w:pPr>
      <w:r>
        <w:rPr>
          <w:rFonts w:ascii="Arial" w:hAnsi="Arial" w:cs="Arial"/>
          <w:sz w:val="24"/>
          <w:szCs w:val="24"/>
          <w:lang w:eastAsia="pt-BR"/>
        </w:rPr>
        <w:t>Nos I</w:t>
      </w:r>
      <w:r w:rsidRPr="00452ADD">
        <w:rPr>
          <w:rFonts w:ascii="Arial" w:hAnsi="Arial" w:cs="Arial"/>
          <w:sz w:val="24"/>
          <w:szCs w:val="24"/>
          <w:lang w:eastAsia="pt-BR"/>
        </w:rPr>
        <w:t xml:space="preserve">ndicadores de </w:t>
      </w:r>
      <w:r>
        <w:rPr>
          <w:rFonts w:ascii="Arial" w:hAnsi="Arial" w:cs="Arial"/>
          <w:i/>
          <w:sz w:val="24"/>
          <w:szCs w:val="24"/>
          <w:lang w:eastAsia="pt-BR"/>
        </w:rPr>
        <w:t>P</w:t>
      </w:r>
      <w:r w:rsidRPr="00CF788C">
        <w:rPr>
          <w:rFonts w:ascii="Arial" w:hAnsi="Arial" w:cs="Arial"/>
          <w:i/>
          <w:sz w:val="24"/>
          <w:szCs w:val="24"/>
          <w:lang w:eastAsia="pt-BR"/>
        </w:rPr>
        <w:t>erformance</w:t>
      </w:r>
      <w:r>
        <w:rPr>
          <w:rFonts w:ascii="Arial" w:hAnsi="Arial" w:cs="Arial"/>
          <w:sz w:val="24"/>
          <w:szCs w:val="24"/>
          <w:lang w:eastAsia="pt-BR"/>
        </w:rPr>
        <w:t xml:space="preserve">, apresenta-se a evolução das despesas com recursos próprios, os gastos médios com saúde, os gastos médios </w:t>
      </w:r>
      <w:r w:rsidRPr="00D2254D">
        <w:rPr>
          <w:rFonts w:ascii="Arial" w:hAnsi="Arial" w:cs="Arial"/>
          <w:i/>
          <w:sz w:val="24"/>
          <w:szCs w:val="24"/>
          <w:lang w:eastAsia="pt-BR"/>
        </w:rPr>
        <w:t>per capita</w:t>
      </w:r>
      <w:r>
        <w:rPr>
          <w:rFonts w:ascii="Arial" w:hAnsi="Arial" w:cs="Arial"/>
          <w:sz w:val="24"/>
          <w:szCs w:val="24"/>
          <w:lang w:eastAsia="pt-BR"/>
        </w:rPr>
        <w:t xml:space="preserve"> e os gastos na Função Saúde.</w:t>
      </w:r>
    </w:p>
    <w:p w:rsidR="00E25AC7" w:rsidRDefault="00E25AC7" w:rsidP="00EE3036">
      <w:pPr>
        <w:spacing w:after="0" w:line="360" w:lineRule="auto"/>
        <w:ind w:firstLine="708"/>
        <w:jc w:val="both"/>
        <w:rPr>
          <w:rFonts w:ascii="Arial" w:hAnsi="Arial" w:cs="Arial"/>
          <w:sz w:val="24"/>
          <w:szCs w:val="24"/>
          <w:lang w:eastAsia="pt-BR"/>
        </w:rPr>
      </w:pPr>
    </w:p>
    <w:p w:rsidR="00E25AC7" w:rsidRDefault="00E25AC7" w:rsidP="00EE3036">
      <w:pPr>
        <w:spacing w:after="0" w:line="360" w:lineRule="auto"/>
        <w:ind w:firstLine="708"/>
        <w:jc w:val="both"/>
        <w:rPr>
          <w:rFonts w:ascii="Arial" w:hAnsi="Arial" w:cs="Arial"/>
          <w:sz w:val="24"/>
          <w:szCs w:val="24"/>
          <w:lang w:eastAsia="pt-BR"/>
        </w:rPr>
      </w:pPr>
      <w:r>
        <w:rPr>
          <w:rFonts w:ascii="Arial" w:hAnsi="Arial" w:cs="Arial"/>
          <w:sz w:val="24"/>
          <w:szCs w:val="24"/>
          <w:lang w:eastAsia="pt-BR"/>
        </w:rPr>
        <w:t xml:space="preserve">Assim, abaixo tem-se o gráfico com a evolução dos gastos com recursos próprios com saúde no período de 2003 a 2010. </w:t>
      </w:r>
    </w:p>
    <w:p w:rsidR="00E25AC7" w:rsidRDefault="00E25AC7" w:rsidP="00AF109D">
      <w:pPr>
        <w:spacing w:after="0" w:line="360" w:lineRule="auto"/>
        <w:rPr>
          <w:rFonts w:ascii="Arial" w:hAnsi="Arial" w:cs="Arial"/>
          <w:sz w:val="24"/>
          <w:szCs w:val="24"/>
          <w:lang w:eastAsia="pt-BR"/>
        </w:rPr>
      </w:pPr>
    </w:p>
    <w:p w:rsidR="00E25AC7" w:rsidRPr="001C741E" w:rsidRDefault="00E25AC7" w:rsidP="00070F4B">
      <w:pPr>
        <w:spacing w:after="0" w:line="240" w:lineRule="auto"/>
        <w:jc w:val="center"/>
        <w:rPr>
          <w:rFonts w:ascii="Arial" w:hAnsi="Arial" w:cs="Arial"/>
          <w:b/>
          <w:sz w:val="24"/>
          <w:szCs w:val="24"/>
          <w:lang w:eastAsia="pt-BR"/>
        </w:rPr>
      </w:pPr>
      <w:r>
        <w:rPr>
          <w:rFonts w:ascii="Arial" w:hAnsi="Arial" w:cs="Arial"/>
          <w:b/>
          <w:sz w:val="24"/>
          <w:szCs w:val="24"/>
          <w:lang w:eastAsia="pt-BR"/>
        </w:rPr>
        <w:t>Grá</w:t>
      </w:r>
      <w:r w:rsidRPr="00D72146">
        <w:rPr>
          <w:rFonts w:ascii="Arial" w:hAnsi="Arial" w:cs="Arial"/>
          <w:b/>
          <w:sz w:val="24"/>
          <w:szCs w:val="24"/>
          <w:lang w:eastAsia="pt-BR"/>
        </w:rPr>
        <w:t>fico 1</w:t>
      </w:r>
      <w:r>
        <w:rPr>
          <w:rFonts w:ascii="Arial" w:hAnsi="Arial" w:cs="Arial"/>
          <w:b/>
          <w:sz w:val="24"/>
          <w:szCs w:val="24"/>
          <w:lang w:eastAsia="pt-BR"/>
        </w:rPr>
        <w:t xml:space="preserve"> -</w:t>
      </w:r>
      <w:r>
        <w:rPr>
          <w:rFonts w:ascii="Arial" w:hAnsi="Arial" w:cs="Arial"/>
          <w:sz w:val="24"/>
          <w:szCs w:val="24"/>
          <w:lang w:eastAsia="pt-BR"/>
        </w:rPr>
        <w:t xml:space="preserve"> </w:t>
      </w:r>
      <w:r w:rsidRPr="001C741E">
        <w:rPr>
          <w:rFonts w:ascii="Arial" w:hAnsi="Arial" w:cs="Arial"/>
          <w:b/>
          <w:sz w:val="24"/>
          <w:szCs w:val="24"/>
          <w:lang w:eastAsia="pt-BR"/>
        </w:rPr>
        <w:t xml:space="preserve">Evolução dos gastos da saúde com recursos próprios no período de 2003 a 2010 – Municípios de Balneário </w:t>
      </w:r>
      <w:proofErr w:type="spellStart"/>
      <w:r w:rsidRPr="001C741E">
        <w:rPr>
          <w:rFonts w:ascii="Arial" w:hAnsi="Arial" w:cs="Arial"/>
          <w:b/>
          <w:sz w:val="24"/>
          <w:szCs w:val="24"/>
          <w:lang w:eastAsia="pt-BR"/>
        </w:rPr>
        <w:t>Camboriu,Itapema</w:t>
      </w:r>
      <w:proofErr w:type="spellEnd"/>
      <w:r w:rsidRPr="001C741E">
        <w:rPr>
          <w:rFonts w:ascii="Arial" w:hAnsi="Arial" w:cs="Arial"/>
          <w:b/>
          <w:sz w:val="24"/>
          <w:szCs w:val="24"/>
          <w:lang w:eastAsia="pt-BR"/>
        </w:rPr>
        <w:t xml:space="preserve"> e Itajaí.</w:t>
      </w:r>
    </w:p>
    <w:p w:rsidR="00E25AC7" w:rsidRDefault="00E25AC7" w:rsidP="00070F4B">
      <w:pPr>
        <w:spacing w:after="0" w:line="240" w:lineRule="auto"/>
        <w:jc w:val="center"/>
        <w:rPr>
          <w:rFonts w:ascii="Arial" w:hAnsi="Arial" w:cs="Arial"/>
          <w:sz w:val="24"/>
          <w:szCs w:val="24"/>
          <w:lang w:eastAsia="pt-BR"/>
        </w:rPr>
      </w:pPr>
    </w:p>
    <w:p w:rsidR="00E25AC7" w:rsidRPr="00452ADD" w:rsidRDefault="00EE5DA4" w:rsidP="00042476">
      <w:pPr>
        <w:spacing w:after="0" w:line="360" w:lineRule="auto"/>
        <w:jc w:val="center"/>
        <w:rPr>
          <w:rFonts w:ascii="Arial" w:hAnsi="Arial" w:cs="Arial"/>
          <w:sz w:val="24"/>
          <w:szCs w:val="24"/>
          <w:lang w:eastAsia="pt-BR"/>
        </w:rPr>
      </w:pPr>
      <w:r>
        <w:rPr>
          <w:noProof/>
          <w:lang w:eastAsia="pt-BR"/>
        </w:rPr>
        <w:pict>
          <v:shape id="Gráfico 1" o:spid="_x0000_i1026" type="#_x0000_t75" style="width:443.25pt;height:179.2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">
            <v:imagedata r:id="rId8" o:title="" cropbottom="-92f"/>
            <o:lock v:ext="edit" aspectratio="f"/>
          </v:shape>
        </w:pict>
      </w:r>
    </w:p>
    <w:p w:rsidR="00E25AC7" w:rsidRPr="00D677DF" w:rsidRDefault="00E25AC7" w:rsidP="00042476">
      <w:pPr>
        <w:spacing w:after="0" w:line="360" w:lineRule="auto"/>
        <w:ind w:firstLine="700"/>
        <w:jc w:val="center"/>
        <w:rPr>
          <w:rFonts w:ascii="Arial" w:hAnsi="Arial" w:cs="Arial"/>
          <w:sz w:val="20"/>
          <w:szCs w:val="20"/>
          <w:lang w:eastAsia="pt-BR"/>
        </w:rPr>
      </w:pPr>
      <w:r w:rsidRPr="00D677DF">
        <w:rPr>
          <w:rFonts w:ascii="Arial" w:hAnsi="Arial" w:cs="Arial"/>
          <w:sz w:val="20"/>
          <w:szCs w:val="20"/>
          <w:lang w:eastAsia="pt-BR"/>
        </w:rPr>
        <w:t>Fonte: elaborado pelos autores com base em TCS/SC (2012).</w:t>
      </w:r>
    </w:p>
    <w:p w:rsidR="00E25AC7" w:rsidRDefault="00E25AC7" w:rsidP="005141F4">
      <w:pPr>
        <w:spacing w:after="0" w:line="360" w:lineRule="auto"/>
        <w:rPr>
          <w:rFonts w:ascii="Arial" w:hAnsi="Arial" w:cs="Arial"/>
          <w:sz w:val="24"/>
          <w:szCs w:val="24"/>
          <w:lang w:eastAsia="pt-BR"/>
        </w:rPr>
      </w:pPr>
    </w:p>
    <w:p w:rsidR="00E25AC7" w:rsidRDefault="00E25AC7" w:rsidP="003B4525">
      <w:pPr>
        <w:spacing w:after="0" w:line="360" w:lineRule="auto"/>
        <w:ind w:firstLine="700"/>
        <w:jc w:val="both"/>
        <w:rPr>
          <w:rFonts w:ascii="Arial" w:hAnsi="Arial" w:cs="Arial"/>
          <w:sz w:val="24"/>
          <w:szCs w:val="24"/>
          <w:lang w:eastAsia="pt-BR"/>
        </w:rPr>
      </w:pPr>
      <w:r>
        <w:rPr>
          <w:rFonts w:ascii="Arial" w:hAnsi="Arial" w:cs="Arial"/>
          <w:sz w:val="24"/>
          <w:szCs w:val="24"/>
          <w:lang w:eastAsia="pt-BR"/>
        </w:rPr>
        <w:t xml:space="preserve">A partir do gráfico acima pode-se perceber que o comportamento da evolução das despesas com saúde realizadas com recursos próprios dos municípios apresentou tendência a aumentar ao longo do tempo, porém, a taxa de crescimento de Itapema mostra-se praticamente constante, enquanto Balneário </w:t>
      </w:r>
      <w:proofErr w:type="spellStart"/>
      <w:r>
        <w:rPr>
          <w:rFonts w:ascii="Arial" w:hAnsi="Arial" w:cs="Arial"/>
          <w:sz w:val="24"/>
          <w:szCs w:val="24"/>
          <w:lang w:eastAsia="pt-BR"/>
        </w:rPr>
        <w:t>Camboriu</w:t>
      </w:r>
      <w:proofErr w:type="spellEnd"/>
      <w:r>
        <w:rPr>
          <w:rFonts w:ascii="Arial" w:hAnsi="Arial" w:cs="Arial"/>
          <w:sz w:val="24"/>
          <w:szCs w:val="24"/>
          <w:lang w:eastAsia="pt-BR"/>
        </w:rPr>
        <w:t xml:space="preserve"> apresentou decréscimo de 2008 para 2009 e Itajaí tem um processo de crescimento mais acentuado entre 2004 e 2009, dentre os municípios estudados, com queda em 2010, de acordo com o quadro </w:t>
      </w:r>
      <w:r w:rsidRPr="00F46472">
        <w:rPr>
          <w:rFonts w:ascii="Arial" w:hAnsi="Arial" w:cs="Arial"/>
          <w:sz w:val="24"/>
          <w:szCs w:val="24"/>
          <w:lang w:eastAsia="pt-BR"/>
        </w:rPr>
        <w:t xml:space="preserve">5, de </w:t>
      </w:r>
      <w:r w:rsidRPr="00A76E8E">
        <w:rPr>
          <w:rFonts w:ascii="Arial" w:hAnsi="Arial" w:cs="Arial"/>
          <w:color w:val="000000"/>
          <w:sz w:val="24"/>
          <w:szCs w:val="24"/>
          <w:lang w:eastAsia="pt-BR"/>
        </w:rPr>
        <w:t>19,43</w:t>
      </w:r>
      <w:r w:rsidRPr="00F46472">
        <w:rPr>
          <w:rFonts w:ascii="Arial" w:hAnsi="Arial" w:cs="Arial"/>
          <w:color w:val="000000"/>
          <w:sz w:val="24"/>
          <w:szCs w:val="24"/>
          <w:lang w:eastAsia="pt-BR"/>
        </w:rPr>
        <w:t>% para 16,49%</w:t>
      </w:r>
      <w:r w:rsidRPr="00F46472">
        <w:rPr>
          <w:rFonts w:ascii="Arial" w:hAnsi="Arial" w:cs="Arial"/>
          <w:sz w:val="24"/>
          <w:szCs w:val="24"/>
          <w:lang w:eastAsia="pt-BR"/>
        </w:rPr>
        <w:t>.</w:t>
      </w:r>
    </w:p>
    <w:p w:rsidR="00E25AC7" w:rsidRDefault="00E25AC7" w:rsidP="003B4525">
      <w:pPr>
        <w:spacing w:after="0" w:line="360" w:lineRule="auto"/>
        <w:ind w:firstLine="700"/>
        <w:jc w:val="both"/>
        <w:rPr>
          <w:rFonts w:ascii="Arial" w:hAnsi="Arial" w:cs="Arial"/>
          <w:sz w:val="24"/>
          <w:szCs w:val="24"/>
          <w:lang w:eastAsia="pt-BR"/>
        </w:rPr>
      </w:pPr>
      <w:r>
        <w:rPr>
          <w:rFonts w:ascii="Arial" w:hAnsi="Arial" w:cs="Arial"/>
          <w:sz w:val="24"/>
          <w:szCs w:val="24"/>
          <w:lang w:eastAsia="pt-BR"/>
        </w:rPr>
        <w:t xml:space="preserve">As aplicações em saúde ainda foram testadas em seus gastos </w:t>
      </w:r>
      <w:r w:rsidRPr="006B3A9B">
        <w:rPr>
          <w:rFonts w:ascii="Arial" w:hAnsi="Arial" w:cs="Arial"/>
          <w:i/>
          <w:sz w:val="24"/>
          <w:szCs w:val="24"/>
          <w:lang w:eastAsia="pt-BR"/>
        </w:rPr>
        <w:t>per capita</w:t>
      </w:r>
      <w:r>
        <w:rPr>
          <w:rFonts w:ascii="Arial" w:hAnsi="Arial" w:cs="Arial"/>
          <w:sz w:val="24"/>
          <w:szCs w:val="24"/>
          <w:lang w:eastAsia="pt-BR"/>
        </w:rPr>
        <w:t xml:space="preserve"> e gastos médios </w:t>
      </w:r>
      <w:r w:rsidRPr="006B3A9B">
        <w:rPr>
          <w:rFonts w:ascii="Arial" w:hAnsi="Arial" w:cs="Arial"/>
          <w:i/>
          <w:sz w:val="24"/>
          <w:szCs w:val="24"/>
          <w:lang w:eastAsia="pt-BR"/>
        </w:rPr>
        <w:t>per capita</w:t>
      </w:r>
      <w:r>
        <w:rPr>
          <w:rFonts w:ascii="Arial" w:hAnsi="Arial" w:cs="Arial"/>
          <w:sz w:val="24"/>
          <w:szCs w:val="24"/>
          <w:lang w:eastAsia="pt-BR"/>
        </w:rPr>
        <w:t>, conforme quadro 6.</w:t>
      </w:r>
    </w:p>
    <w:p w:rsidR="00E25AC7" w:rsidRDefault="00E25AC7" w:rsidP="00DE4A7C">
      <w:pPr>
        <w:spacing w:after="0" w:line="360" w:lineRule="auto"/>
        <w:ind w:firstLine="700"/>
        <w:jc w:val="both"/>
        <w:rPr>
          <w:rFonts w:ascii="Arial" w:hAnsi="Arial" w:cs="Arial"/>
          <w:sz w:val="24"/>
          <w:szCs w:val="24"/>
          <w:lang w:eastAsia="pt-BR"/>
        </w:rPr>
      </w:pPr>
    </w:p>
    <w:p w:rsidR="00E25AC7" w:rsidRDefault="00E25AC7" w:rsidP="006B3A9B">
      <w:pPr>
        <w:spacing w:after="0" w:line="240" w:lineRule="auto"/>
        <w:jc w:val="center"/>
        <w:rPr>
          <w:rFonts w:ascii="Arial" w:hAnsi="Arial" w:cs="Arial"/>
          <w:sz w:val="24"/>
          <w:szCs w:val="24"/>
          <w:lang w:eastAsia="pt-BR"/>
        </w:rPr>
      </w:pPr>
      <w:r w:rsidRPr="003B5D3D">
        <w:rPr>
          <w:rFonts w:ascii="Arial" w:hAnsi="Arial" w:cs="Arial"/>
          <w:b/>
          <w:sz w:val="24"/>
          <w:szCs w:val="24"/>
          <w:lang w:eastAsia="pt-BR"/>
        </w:rPr>
        <w:t>Quadro 6</w:t>
      </w:r>
      <w:r>
        <w:rPr>
          <w:rFonts w:ascii="Arial" w:hAnsi="Arial" w:cs="Arial"/>
          <w:b/>
          <w:sz w:val="24"/>
          <w:szCs w:val="24"/>
          <w:lang w:eastAsia="pt-BR"/>
        </w:rPr>
        <w:t xml:space="preserve"> </w:t>
      </w:r>
      <w:r w:rsidRPr="001C741E">
        <w:rPr>
          <w:rFonts w:ascii="Arial" w:hAnsi="Arial" w:cs="Arial"/>
          <w:b/>
          <w:sz w:val="24"/>
          <w:szCs w:val="24"/>
          <w:lang w:eastAsia="pt-BR"/>
        </w:rPr>
        <w:t xml:space="preserve">- Gasto médio e gasto médio </w:t>
      </w:r>
      <w:r w:rsidRPr="001C741E">
        <w:rPr>
          <w:rFonts w:ascii="Arial" w:hAnsi="Arial" w:cs="Arial"/>
          <w:b/>
          <w:i/>
          <w:sz w:val="24"/>
          <w:szCs w:val="24"/>
          <w:lang w:eastAsia="pt-BR"/>
        </w:rPr>
        <w:t>per capita</w:t>
      </w:r>
      <w:r w:rsidRPr="001C741E">
        <w:rPr>
          <w:rFonts w:ascii="Arial" w:hAnsi="Arial" w:cs="Arial"/>
          <w:b/>
          <w:sz w:val="24"/>
          <w:szCs w:val="24"/>
          <w:lang w:eastAsia="pt-BR"/>
        </w:rPr>
        <w:t xml:space="preserve"> com saúde nos municípios de Itajaí, Balneário Camboriú e Itapema (2000 a 2010).</w:t>
      </w:r>
    </w:p>
    <w:p w:rsidR="00E25AC7" w:rsidRPr="00452ADD" w:rsidRDefault="00E25AC7" w:rsidP="006B3A9B">
      <w:pPr>
        <w:spacing w:after="0" w:line="240" w:lineRule="auto"/>
        <w:jc w:val="center"/>
        <w:rPr>
          <w:rFonts w:ascii="Arial" w:hAnsi="Arial" w:cs="Arial"/>
          <w:sz w:val="24"/>
          <w:szCs w:val="24"/>
          <w:lang w:eastAsia="pt-BR"/>
        </w:rPr>
      </w:pPr>
    </w:p>
    <w:tbl>
      <w:tblPr>
        <w:tblW w:w="6640" w:type="dxa"/>
        <w:jc w:val="center"/>
        <w:tblInd w:w="55" w:type="dxa"/>
        <w:tblCellMar>
          <w:left w:w="70" w:type="dxa"/>
          <w:right w:w="70" w:type="dxa"/>
        </w:tblCellMar>
        <w:tblLook w:val="00A0" w:firstRow="1" w:lastRow="0" w:firstColumn="1" w:lastColumn="0" w:noHBand="0" w:noVBand="0"/>
      </w:tblPr>
      <w:tblGrid>
        <w:gridCol w:w="2831"/>
        <w:gridCol w:w="1869"/>
        <w:gridCol w:w="1940"/>
      </w:tblGrid>
      <w:tr w:rsidR="00E25AC7" w:rsidRPr="008313B9" w:rsidTr="006559C2">
        <w:trPr>
          <w:trHeight w:val="948"/>
          <w:jc w:val="center"/>
        </w:trPr>
        <w:tc>
          <w:tcPr>
            <w:tcW w:w="2831" w:type="dxa"/>
            <w:tcBorders>
              <w:top w:val="single" w:sz="8" w:space="0" w:color="auto"/>
              <w:left w:val="single" w:sz="8" w:space="0" w:color="auto"/>
              <w:bottom w:val="single" w:sz="8" w:space="0" w:color="auto"/>
              <w:right w:val="single" w:sz="4" w:space="0" w:color="auto"/>
            </w:tcBorders>
            <w:shd w:val="clear" w:color="000000" w:fill="C4BD97"/>
            <w:vAlign w:val="center"/>
          </w:tcPr>
          <w:p w:rsidR="00E25AC7" w:rsidRPr="006559C2" w:rsidRDefault="00E25AC7" w:rsidP="006559C2">
            <w:pPr>
              <w:spacing w:after="0" w:line="240" w:lineRule="auto"/>
              <w:jc w:val="center"/>
              <w:rPr>
                <w:rFonts w:ascii="Arial" w:hAnsi="Arial" w:cs="Arial"/>
                <w:b/>
                <w:bCs/>
                <w:sz w:val="24"/>
                <w:szCs w:val="24"/>
                <w:lang w:eastAsia="pt-BR"/>
              </w:rPr>
            </w:pPr>
            <w:r w:rsidRPr="006559C2">
              <w:rPr>
                <w:rFonts w:ascii="Arial" w:hAnsi="Arial" w:cs="Arial"/>
                <w:b/>
                <w:bCs/>
                <w:sz w:val="24"/>
                <w:szCs w:val="24"/>
                <w:lang w:eastAsia="pt-BR"/>
              </w:rPr>
              <w:t>MUNICÍPIOS</w:t>
            </w:r>
          </w:p>
        </w:tc>
        <w:tc>
          <w:tcPr>
            <w:tcW w:w="1869" w:type="dxa"/>
            <w:tcBorders>
              <w:top w:val="single" w:sz="8" w:space="0" w:color="auto"/>
              <w:left w:val="nil"/>
              <w:bottom w:val="single" w:sz="8" w:space="0" w:color="auto"/>
              <w:right w:val="single" w:sz="4" w:space="0" w:color="auto"/>
            </w:tcBorders>
            <w:shd w:val="clear" w:color="000000" w:fill="C4BD97"/>
            <w:vAlign w:val="center"/>
          </w:tcPr>
          <w:p w:rsidR="00E25AC7" w:rsidRPr="006559C2" w:rsidRDefault="00E25AC7" w:rsidP="004A4D46">
            <w:pPr>
              <w:spacing w:after="0" w:line="240" w:lineRule="auto"/>
              <w:jc w:val="center"/>
              <w:rPr>
                <w:rFonts w:ascii="Arial" w:hAnsi="Arial" w:cs="Arial"/>
                <w:b/>
                <w:bCs/>
                <w:sz w:val="24"/>
                <w:szCs w:val="24"/>
                <w:lang w:eastAsia="pt-BR"/>
              </w:rPr>
            </w:pPr>
            <w:r w:rsidRPr="006559C2">
              <w:rPr>
                <w:rFonts w:ascii="Arial" w:hAnsi="Arial" w:cs="Arial"/>
                <w:b/>
                <w:bCs/>
                <w:sz w:val="24"/>
                <w:szCs w:val="24"/>
                <w:lang w:eastAsia="pt-BR"/>
              </w:rPr>
              <w:t>Gasto médio com Saúde - RP (R$)</w:t>
            </w:r>
          </w:p>
        </w:tc>
        <w:tc>
          <w:tcPr>
            <w:tcW w:w="1940" w:type="dxa"/>
            <w:tcBorders>
              <w:top w:val="single" w:sz="8" w:space="0" w:color="auto"/>
              <w:left w:val="nil"/>
              <w:bottom w:val="single" w:sz="8" w:space="0" w:color="auto"/>
              <w:right w:val="single" w:sz="8" w:space="0" w:color="auto"/>
            </w:tcBorders>
            <w:shd w:val="clear" w:color="000000" w:fill="C4BD97"/>
            <w:vAlign w:val="center"/>
          </w:tcPr>
          <w:p w:rsidR="00E25AC7" w:rsidRPr="006559C2" w:rsidRDefault="00E25AC7" w:rsidP="006559C2">
            <w:pPr>
              <w:spacing w:after="0" w:line="240" w:lineRule="auto"/>
              <w:jc w:val="center"/>
              <w:rPr>
                <w:rFonts w:ascii="Arial" w:hAnsi="Arial" w:cs="Arial"/>
                <w:b/>
                <w:bCs/>
                <w:sz w:val="24"/>
                <w:szCs w:val="24"/>
                <w:lang w:eastAsia="pt-BR"/>
              </w:rPr>
            </w:pPr>
            <w:r w:rsidRPr="006559C2">
              <w:rPr>
                <w:rFonts w:ascii="Arial" w:hAnsi="Arial" w:cs="Arial"/>
                <w:b/>
                <w:bCs/>
                <w:sz w:val="24"/>
                <w:szCs w:val="24"/>
                <w:lang w:eastAsia="pt-BR"/>
              </w:rPr>
              <w:t xml:space="preserve">Gasto médio </w:t>
            </w:r>
            <w:r w:rsidRPr="00D2254D">
              <w:rPr>
                <w:rFonts w:ascii="Arial" w:hAnsi="Arial" w:cs="Arial"/>
                <w:b/>
                <w:bCs/>
                <w:i/>
                <w:sz w:val="24"/>
                <w:szCs w:val="24"/>
                <w:lang w:eastAsia="pt-BR"/>
              </w:rPr>
              <w:t>per capita</w:t>
            </w:r>
            <w:r w:rsidRPr="006559C2">
              <w:rPr>
                <w:rFonts w:ascii="Arial" w:hAnsi="Arial" w:cs="Arial"/>
                <w:b/>
                <w:bCs/>
                <w:sz w:val="24"/>
                <w:szCs w:val="24"/>
                <w:lang w:eastAsia="pt-BR"/>
              </w:rPr>
              <w:t xml:space="preserve"> com saúde (R$)</w:t>
            </w:r>
          </w:p>
        </w:tc>
      </w:tr>
      <w:tr w:rsidR="00E25AC7" w:rsidRPr="008313B9" w:rsidTr="006559C2">
        <w:trPr>
          <w:trHeight w:val="600"/>
          <w:jc w:val="center"/>
        </w:trPr>
        <w:tc>
          <w:tcPr>
            <w:tcW w:w="2831" w:type="dxa"/>
            <w:tcBorders>
              <w:top w:val="nil"/>
              <w:left w:val="single" w:sz="8" w:space="0" w:color="auto"/>
              <w:bottom w:val="single" w:sz="4" w:space="0" w:color="auto"/>
              <w:right w:val="single" w:sz="4" w:space="0" w:color="auto"/>
            </w:tcBorders>
            <w:vAlign w:val="center"/>
          </w:tcPr>
          <w:p w:rsidR="00E25AC7" w:rsidRPr="006559C2" w:rsidRDefault="00E25AC7" w:rsidP="006559C2">
            <w:pPr>
              <w:spacing w:after="0" w:line="240" w:lineRule="auto"/>
              <w:jc w:val="center"/>
              <w:rPr>
                <w:rFonts w:ascii="Arial" w:hAnsi="Arial" w:cs="Arial"/>
                <w:color w:val="000000"/>
                <w:sz w:val="24"/>
                <w:szCs w:val="24"/>
                <w:lang w:eastAsia="pt-BR"/>
              </w:rPr>
            </w:pPr>
            <w:r>
              <w:rPr>
                <w:rFonts w:ascii="Arial" w:hAnsi="Arial" w:cs="Arial"/>
                <w:color w:val="000000"/>
                <w:sz w:val="24"/>
                <w:szCs w:val="24"/>
                <w:lang w:eastAsia="pt-BR"/>
              </w:rPr>
              <w:t xml:space="preserve">BALNEÁRIO </w:t>
            </w:r>
            <w:r w:rsidRPr="006559C2">
              <w:rPr>
                <w:rFonts w:ascii="Arial" w:hAnsi="Arial" w:cs="Arial"/>
                <w:color w:val="000000"/>
                <w:sz w:val="24"/>
                <w:szCs w:val="24"/>
                <w:lang w:eastAsia="pt-BR"/>
              </w:rPr>
              <w:t>CAMBORIU</w:t>
            </w:r>
          </w:p>
        </w:tc>
        <w:tc>
          <w:tcPr>
            <w:tcW w:w="1869" w:type="dxa"/>
            <w:tcBorders>
              <w:top w:val="nil"/>
              <w:left w:val="nil"/>
              <w:bottom w:val="single" w:sz="4" w:space="0" w:color="auto"/>
              <w:right w:val="single" w:sz="4" w:space="0" w:color="auto"/>
            </w:tcBorders>
            <w:vAlign w:val="center"/>
          </w:tcPr>
          <w:p w:rsidR="00E25AC7" w:rsidRPr="006559C2" w:rsidRDefault="00E25AC7" w:rsidP="006559C2">
            <w:pPr>
              <w:spacing w:after="0" w:line="240" w:lineRule="auto"/>
              <w:jc w:val="center"/>
              <w:rPr>
                <w:rFonts w:ascii="Arial" w:hAnsi="Arial" w:cs="Arial"/>
                <w:color w:val="000000"/>
                <w:sz w:val="24"/>
                <w:szCs w:val="24"/>
                <w:lang w:eastAsia="pt-BR"/>
              </w:rPr>
            </w:pPr>
            <w:r w:rsidRPr="006559C2">
              <w:rPr>
                <w:rFonts w:ascii="Arial" w:hAnsi="Arial" w:cs="Arial"/>
                <w:color w:val="000000"/>
                <w:sz w:val="24"/>
                <w:szCs w:val="24"/>
                <w:lang w:eastAsia="pt-BR"/>
              </w:rPr>
              <w:t>19.010.651,29</w:t>
            </w:r>
          </w:p>
        </w:tc>
        <w:tc>
          <w:tcPr>
            <w:tcW w:w="1940" w:type="dxa"/>
            <w:tcBorders>
              <w:top w:val="nil"/>
              <w:left w:val="nil"/>
              <w:bottom w:val="single" w:sz="4" w:space="0" w:color="auto"/>
              <w:right w:val="single" w:sz="8" w:space="0" w:color="auto"/>
            </w:tcBorders>
            <w:vAlign w:val="center"/>
          </w:tcPr>
          <w:p w:rsidR="00E25AC7" w:rsidRPr="006559C2" w:rsidRDefault="00E25AC7" w:rsidP="006559C2">
            <w:pPr>
              <w:spacing w:after="0" w:line="240" w:lineRule="auto"/>
              <w:jc w:val="center"/>
              <w:rPr>
                <w:rFonts w:ascii="Arial" w:hAnsi="Arial" w:cs="Arial"/>
                <w:color w:val="000000"/>
                <w:sz w:val="24"/>
                <w:szCs w:val="24"/>
                <w:lang w:eastAsia="pt-BR"/>
              </w:rPr>
            </w:pPr>
            <w:r w:rsidRPr="006559C2">
              <w:rPr>
                <w:rFonts w:ascii="Arial" w:hAnsi="Arial" w:cs="Arial"/>
                <w:color w:val="000000"/>
                <w:sz w:val="24"/>
                <w:szCs w:val="24"/>
                <w:lang w:eastAsia="pt-BR"/>
              </w:rPr>
              <w:t>197,025</w:t>
            </w:r>
          </w:p>
        </w:tc>
      </w:tr>
      <w:tr w:rsidR="00E25AC7" w:rsidRPr="008313B9" w:rsidTr="006559C2">
        <w:trPr>
          <w:trHeight w:val="300"/>
          <w:jc w:val="center"/>
        </w:trPr>
        <w:tc>
          <w:tcPr>
            <w:tcW w:w="2831" w:type="dxa"/>
            <w:tcBorders>
              <w:top w:val="nil"/>
              <w:left w:val="single" w:sz="8" w:space="0" w:color="auto"/>
              <w:bottom w:val="single" w:sz="4" w:space="0" w:color="auto"/>
              <w:right w:val="single" w:sz="4" w:space="0" w:color="auto"/>
            </w:tcBorders>
            <w:vAlign w:val="center"/>
          </w:tcPr>
          <w:p w:rsidR="00E25AC7" w:rsidRPr="006559C2" w:rsidRDefault="00E25AC7" w:rsidP="006559C2">
            <w:pPr>
              <w:spacing w:after="0" w:line="240" w:lineRule="auto"/>
              <w:jc w:val="center"/>
              <w:rPr>
                <w:rFonts w:ascii="Arial" w:hAnsi="Arial" w:cs="Arial"/>
                <w:color w:val="000000"/>
                <w:sz w:val="24"/>
                <w:szCs w:val="24"/>
                <w:lang w:eastAsia="pt-BR"/>
              </w:rPr>
            </w:pPr>
            <w:r w:rsidRPr="006559C2">
              <w:rPr>
                <w:rFonts w:ascii="Arial" w:hAnsi="Arial" w:cs="Arial"/>
                <w:color w:val="000000"/>
                <w:sz w:val="24"/>
                <w:szCs w:val="24"/>
                <w:lang w:eastAsia="pt-BR"/>
              </w:rPr>
              <w:t>ITAJAI</w:t>
            </w:r>
          </w:p>
        </w:tc>
        <w:tc>
          <w:tcPr>
            <w:tcW w:w="1869" w:type="dxa"/>
            <w:tcBorders>
              <w:top w:val="nil"/>
              <w:left w:val="nil"/>
              <w:bottom w:val="single" w:sz="4" w:space="0" w:color="auto"/>
              <w:right w:val="single" w:sz="4" w:space="0" w:color="auto"/>
            </w:tcBorders>
            <w:vAlign w:val="center"/>
          </w:tcPr>
          <w:p w:rsidR="00E25AC7" w:rsidRPr="006559C2" w:rsidRDefault="00E25AC7" w:rsidP="006559C2">
            <w:pPr>
              <w:spacing w:after="0" w:line="240" w:lineRule="auto"/>
              <w:jc w:val="center"/>
              <w:rPr>
                <w:rFonts w:ascii="Arial" w:hAnsi="Arial" w:cs="Arial"/>
                <w:color w:val="000000"/>
                <w:sz w:val="24"/>
                <w:szCs w:val="24"/>
                <w:lang w:eastAsia="pt-BR"/>
              </w:rPr>
            </w:pPr>
            <w:r w:rsidRPr="006559C2">
              <w:rPr>
                <w:rFonts w:ascii="Arial" w:hAnsi="Arial" w:cs="Arial"/>
                <w:color w:val="000000"/>
                <w:sz w:val="24"/>
                <w:szCs w:val="24"/>
                <w:lang w:eastAsia="pt-BR"/>
              </w:rPr>
              <w:t>27.342.410,80</w:t>
            </w:r>
          </w:p>
        </w:tc>
        <w:tc>
          <w:tcPr>
            <w:tcW w:w="1940" w:type="dxa"/>
            <w:tcBorders>
              <w:top w:val="nil"/>
              <w:left w:val="nil"/>
              <w:bottom w:val="single" w:sz="4" w:space="0" w:color="auto"/>
              <w:right w:val="single" w:sz="8" w:space="0" w:color="auto"/>
            </w:tcBorders>
            <w:vAlign w:val="center"/>
          </w:tcPr>
          <w:p w:rsidR="00E25AC7" w:rsidRPr="006559C2" w:rsidRDefault="00E25AC7" w:rsidP="006559C2">
            <w:pPr>
              <w:spacing w:after="0" w:line="240" w:lineRule="auto"/>
              <w:jc w:val="center"/>
              <w:rPr>
                <w:rFonts w:ascii="Arial" w:hAnsi="Arial" w:cs="Arial"/>
                <w:color w:val="000000"/>
                <w:sz w:val="24"/>
                <w:szCs w:val="24"/>
                <w:lang w:eastAsia="pt-BR"/>
              </w:rPr>
            </w:pPr>
            <w:r w:rsidRPr="006559C2">
              <w:rPr>
                <w:rFonts w:ascii="Arial" w:hAnsi="Arial" w:cs="Arial"/>
                <w:color w:val="000000"/>
                <w:sz w:val="24"/>
                <w:szCs w:val="24"/>
                <w:lang w:eastAsia="pt-BR"/>
              </w:rPr>
              <w:t>163,49</w:t>
            </w:r>
          </w:p>
        </w:tc>
      </w:tr>
      <w:tr w:rsidR="00E25AC7" w:rsidRPr="008313B9" w:rsidTr="006559C2">
        <w:trPr>
          <w:trHeight w:val="312"/>
          <w:jc w:val="center"/>
        </w:trPr>
        <w:tc>
          <w:tcPr>
            <w:tcW w:w="2831" w:type="dxa"/>
            <w:tcBorders>
              <w:top w:val="nil"/>
              <w:left w:val="single" w:sz="8" w:space="0" w:color="auto"/>
              <w:bottom w:val="single" w:sz="8" w:space="0" w:color="auto"/>
              <w:right w:val="single" w:sz="4" w:space="0" w:color="auto"/>
            </w:tcBorders>
            <w:vAlign w:val="center"/>
          </w:tcPr>
          <w:p w:rsidR="00E25AC7" w:rsidRPr="006559C2" w:rsidRDefault="00E25AC7" w:rsidP="006559C2">
            <w:pPr>
              <w:spacing w:after="0" w:line="240" w:lineRule="auto"/>
              <w:jc w:val="center"/>
              <w:rPr>
                <w:rFonts w:ascii="Arial" w:hAnsi="Arial" w:cs="Arial"/>
                <w:color w:val="000000"/>
                <w:sz w:val="24"/>
                <w:szCs w:val="24"/>
                <w:lang w:eastAsia="pt-BR"/>
              </w:rPr>
            </w:pPr>
            <w:r w:rsidRPr="006559C2">
              <w:rPr>
                <w:rFonts w:ascii="Arial" w:hAnsi="Arial" w:cs="Arial"/>
                <w:color w:val="000000"/>
                <w:sz w:val="24"/>
                <w:szCs w:val="24"/>
                <w:lang w:eastAsia="pt-BR"/>
              </w:rPr>
              <w:t>ITAPEMA</w:t>
            </w:r>
          </w:p>
        </w:tc>
        <w:tc>
          <w:tcPr>
            <w:tcW w:w="1869" w:type="dxa"/>
            <w:tcBorders>
              <w:top w:val="nil"/>
              <w:left w:val="nil"/>
              <w:bottom w:val="single" w:sz="8" w:space="0" w:color="auto"/>
              <w:right w:val="single" w:sz="4" w:space="0" w:color="auto"/>
            </w:tcBorders>
            <w:vAlign w:val="center"/>
          </w:tcPr>
          <w:p w:rsidR="00E25AC7" w:rsidRPr="006559C2" w:rsidRDefault="00E25AC7" w:rsidP="006559C2">
            <w:pPr>
              <w:spacing w:after="0" w:line="240" w:lineRule="auto"/>
              <w:jc w:val="center"/>
              <w:rPr>
                <w:rFonts w:ascii="Arial" w:hAnsi="Arial" w:cs="Arial"/>
                <w:color w:val="000000"/>
                <w:sz w:val="24"/>
                <w:szCs w:val="24"/>
                <w:lang w:eastAsia="pt-BR"/>
              </w:rPr>
            </w:pPr>
            <w:r w:rsidRPr="006559C2">
              <w:rPr>
                <w:rFonts w:ascii="Arial" w:hAnsi="Arial" w:cs="Arial"/>
                <w:color w:val="000000"/>
                <w:sz w:val="24"/>
                <w:szCs w:val="24"/>
                <w:lang w:eastAsia="pt-BR"/>
              </w:rPr>
              <w:t>5.008.625,48</w:t>
            </w:r>
          </w:p>
        </w:tc>
        <w:tc>
          <w:tcPr>
            <w:tcW w:w="1940" w:type="dxa"/>
            <w:tcBorders>
              <w:top w:val="nil"/>
              <w:left w:val="nil"/>
              <w:bottom w:val="single" w:sz="8" w:space="0" w:color="auto"/>
              <w:right w:val="single" w:sz="8" w:space="0" w:color="auto"/>
            </w:tcBorders>
            <w:vAlign w:val="center"/>
          </w:tcPr>
          <w:p w:rsidR="00E25AC7" w:rsidRPr="006559C2" w:rsidRDefault="00E25AC7" w:rsidP="006559C2">
            <w:pPr>
              <w:spacing w:after="0" w:line="240" w:lineRule="auto"/>
              <w:jc w:val="center"/>
              <w:rPr>
                <w:rFonts w:ascii="Arial" w:hAnsi="Arial" w:cs="Arial"/>
                <w:color w:val="000000"/>
                <w:sz w:val="24"/>
                <w:szCs w:val="24"/>
                <w:lang w:eastAsia="pt-BR"/>
              </w:rPr>
            </w:pPr>
            <w:r w:rsidRPr="006559C2">
              <w:rPr>
                <w:rFonts w:ascii="Arial" w:hAnsi="Arial" w:cs="Arial"/>
                <w:color w:val="000000"/>
                <w:sz w:val="24"/>
                <w:szCs w:val="24"/>
                <w:lang w:eastAsia="pt-BR"/>
              </w:rPr>
              <w:t>138,87</w:t>
            </w:r>
          </w:p>
        </w:tc>
      </w:tr>
    </w:tbl>
    <w:p w:rsidR="00E25AC7" w:rsidRPr="00D677DF" w:rsidRDefault="00E25AC7" w:rsidP="00DE4A7C">
      <w:pPr>
        <w:spacing w:after="0" w:line="360" w:lineRule="auto"/>
        <w:jc w:val="center"/>
        <w:rPr>
          <w:rFonts w:ascii="Arial" w:hAnsi="Arial" w:cs="Arial"/>
          <w:sz w:val="20"/>
          <w:szCs w:val="20"/>
          <w:lang w:eastAsia="pt-BR"/>
        </w:rPr>
      </w:pPr>
      <w:r w:rsidRPr="00D677DF">
        <w:rPr>
          <w:rFonts w:ascii="Arial" w:hAnsi="Arial" w:cs="Arial"/>
          <w:sz w:val="20"/>
          <w:szCs w:val="20"/>
          <w:lang w:eastAsia="pt-BR"/>
        </w:rPr>
        <w:t>Fonte: elaborado pelos autores com base em TCE/SC, (2012).</w:t>
      </w:r>
    </w:p>
    <w:p w:rsidR="00E25AC7" w:rsidRDefault="00E25AC7" w:rsidP="008E3A28">
      <w:pPr>
        <w:spacing w:after="0" w:line="240" w:lineRule="auto"/>
        <w:ind w:firstLine="700"/>
        <w:jc w:val="both"/>
        <w:rPr>
          <w:rFonts w:ascii="Arial" w:hAnsi="Arial" w:cs="Arial"/>
          <w:sz w:val="24"/>
          <w:szCs w:val="24"/>
          <w:lang w:eastAsia="pt-BR"/>
        </w:rPr>
      </w:pPr>
    </w:p>
    <w:p w:rsidR="00E25AC7" w:rsidRPr="006409E5" w:rsidRDefault="00E25AC7" w:rsidP="004F2AEB">
      <w:pPr>
        <w:pStyle w:val="NormalWeb"/>
        <w:spacing w:before="0" w:beforeAutospacing="0" w:after="0" w:afterAutospacing="0" w:line="360" w:lineRule="auto"/>
        <w:ind w:firstLine="720"/>
        <w:jc w:val="both"/>
        <w:rPr>
          <w:rFonts w:ascii="Arial" w:hAnsi="Arial" w:cs="Arial"/>
          <w:sz w:val="27"/>
          <w:szCs w:val="27"/>
        </w:rPr>
      </w:pPr>
      <w:r>
        <w:rPr>
          <w:rFonts w:ascii="Arial" w:hAnsi="Arial" w:cs="Arial"/>
        </w:rPr>
        <w:t>O</w:t>
      </w:r>
      <w:r w:rsidRPr="00452ADD">
        <w:rPr>
          <w:rFonts w:ascii="Arial" w:hAnsi="Arial" w:cs="Arial"/>
        </w:rPr>
        <w:t xml:space="preserve">bserva-se que, em relação à media dos gastos </w:t>
      </w:r>
      <w:r w:rsidRPr="00D2254D">
        <w:rPr>
          <w:rFonts w:ascii="Arial" w:hAnsi="Arial" w:cs="Arial"/>
          <w:i/>
        </w:rPr>
        <w:t>per capita</w:t>
      </w:r>
      <w:r w:rsidRPr="00452ADD">
        <w:rPr>
          <w:rFonts w:ascii="Arial" w:hAnsi="Arial" w:cs="Arial"/>
        </w:rPr>
        <w:t xml:space="preserve">, </w:t>
      </w:r>
      <w:r>
        <w:rPr>
          <w:rFonts w:ascii="Arial" w:hAnsi="Arial" w:cs="Arial"/>
        </w:rPr>
        <w:t xml:space="preserve">que </w:t>
      </w:r>
      <w:r w:rsidRPr="00452ADD">
        <w:rPr>
          <w:rFonts w:ascii="Arial" w:hAnsi="Arial" w:cs="Arial"/>
        </w:rPr>
        <w:t>o município de</w:t>
      </w:r>
      <w:r>
        <w:rPr>
          <w:rFonts w:ascii="Arial" w:hAnsi="Arial" w:cs="Arial"/>
        </w:rPr>
        <w:t xml:space="preserve"> Balneário </w:t>
      </w:r>
      <w:r w:rsidRPr="00452ADD">
        <w:rPr>
          <w:rFonts w:ascii="Arial" w:hAnsi="Arial" w:cs="Arial"/>
        </w:rPr>
        <w:t>é o líder e em termos de aplicação das receitas próprias</w:t>
      </w:r>
      <w:r>
        <w:rPr>
          <w:rFonts w:ascii="Arial" w:hAnsi="Arial" w:cs="Arial"/>
        </w:rPr>
        <w:t xml:space="preserve">, pois, </w:t>
      </w:r>
      <w:r w:rsidRPr="00452ADD">
        <w:rPr>
          <w:rFonts w:ascii="Arial" w:hAnsi="Arial" w:cs="Arial"/>
        </w:rPr>
        <w:t xml:space="preserve">em média, </w:t>
      </w:r>
      <w:r>
        <w:rPr>
          <w:rFonts w:ascii="Arial" w:hAnsi="Arial" w:cs="Arial"/>
        </w:rPr>
        <w:t xml:space="preserve">foi o município que </w:t>
      </w:r>
      <w:r w:rsidRPr="00452ADD">
        <w:rPr>
          <w:rFonts w:ascii="Arial" w:hAnsi="Arial" w:cs="Arial"/>
        </w:rPr>
        <w:t xml:space="preserve">mais aplicou em saúde </w:t>
      </w:r>
      <w:r>
        <w:rPr>
          <w:rFonts w:ascii="Arial" w:hAnsi="Arial" w:cs="Arial"/>
        </w:rPr>
        <w:t>na década passada</w:t>
      </w:r>
      <w:r w:rsidRPr="00452ADD">
        <w:rPr>
          <w:rFonts w:ascii="Arial" w:hAnsi="Arial" w:cs="Arial"/>
        </w:rPr>
        <w:t>.</w:t>
      </w:r>
      <w:r>
        <w:rPr>
          <w:color w:val="00B050"/>
        </w:rPr>
        <w:t xml:space="preserve"> </w:t>
      </w:r>
      <w:r w:rsidRPr="006409E5">
        <w:rPr>
          <w:rFonts w:ascii="Arial" w:hAnsi="Arial" w:cs="Arial"/>
        </w:rPr>
        <w:t xml:space="preserve">Corroborando com o apresentado nos dados anteriores o município de Balneário Camboriú, destaca-se na disponibilização do maior recurso </w:t>
      </w:r>
      <w:r w:rsidRPr="00D2254D">
        <w:rPr>
          <w:rFonts w:ascii="Arial" w:hAnsi="Arial" w:cs="Arial"/>
          <w:i/>
        </w:rPr>
        <w:t>per capita</w:t>
      </w:r>
      <w:r w:rsidRPr="006409E5">
        <w:rPr>
          <w:rFonts w:ascii="Arial" w:hAnsi="Arial" w:cs="Arial"/>
        </w:rPr>
        <w:t xml:space="preserve"> à população, considerando Itajaí e Itapema, que são cidades vizinhas a este.</w:t>
      </w:r>
      <w:r>
        <w:rPr>
          <w:rFonts w:ascii="Arial" w:hAnsi="Arial" w:cs="Arial"/>
        </w:rPr>
        <w:t xml:space="preserve"> C</w:t>
      </w:r>
      <w:r w:rsidRPr="006409E5">
        <w:rPr>
          <w:rFonts w:ascii="Arial" w:hAnsi="Arial" w:cs="Arial"/>
        </w:rPr>
        <w:t>ontudo</w:t>
      </w:r>
      <w:r>
        <w:rPr>
          <w:rFonts w:ascii="Arial" w:hAnsi="Arial" w:cs="Arial"/>
        </w:rPr>
        <w:t>,</w:t>
      </w:r>
      <w:r w:rsidRPr="006409E5">
        <w:rPr>
          <w:rFonts w:ascii="Arial" w:hAnsi="Arial" w:cs="Arial"/>
        </w:rPr>
        <w:t xml:space="preserve"> este estudo não apresenta de forma qualitativa se há uma maior qualidade no atendimento ao usuário do SUS.</w:t>
      </w:r>
      <w:r>
        <w:rPr>
          <w:rFonts w:ascii="Arial" w:hAnsi="Arial" w:cs="Arial"/>
          <w:sz w:val="27"/>
          <w:szCs w:val="27"/>
        </w:rPr>
        <w:t xml:space="preserve"> </w:t>
      </w:r>
      <w:r w:rsidRPr="006409E5">
        <w:rPr>
          <w:rFonts w:ascii="Arial" w:hAnsi="Arial" w:cs="Arial"/>
        </w:rPr>
        <w:t xml:space="preserve">No que tange a realização do maior gasto ser realizado por Balneário Camboriú, pode-se vincular a questão de o município ser classificado na abrangência nacional entre os 10 municípios com melhor qualidade de vida e </w:t>
      </w:r>
      <w:r>
        <w:rPr>
          <w:rFonts w:ascii="Arial" w:hAnsi="Arial" w:cs="Arial"/>
        </w:rPr>
        <w:t>em</w:t>
      </w:r>
      <w:r w:rsidRPr="006409E5">
        <w:rPr>
          <w:rFonts w:ascii="Arial" w:hAnsi="Arial" w:cs="Arial"/>
        </w:rPr>
        <w:t xml:space="preserve"> segund</w:t>
      </w:r>
      <w:r>
        <w:rPr>
          <w:rFonts w:ascii="Arial" w:hAnsi="Arial" w:cs="Arial"/>
        </w:rPr>
        <w:t>a</w:t>
      </w:r>
      <w:r w:rsidRPr="006409E5">
        <w:rPr>
          <w:rFonts w:ascii="Arial" w:hAnsi="Arial" w:cs="Arial"/>
        </w:rPr>
        <w:t xml:space="preserve"> colocação </w:t>
      </w:r>
      <w:r>
        <w:rPr>
          <w:rFonts w:ascii="Arial" w:hAnsi="Arial" w:cs="Arial"/>
        </w:rPr>
        <w:t xml:space="preserve">no Estado </w:t>
      </w:r>
      <w:r w:rsidRPr="006409E5">
        <w:rPr>
          <w:rFonts w:ascii="Arial" w:hAnsi="Arial" w:cs="Arial"/>
        </w:rPr>
        <w:t>(BLIESNER, 2012, p.35).</w:t>
      </w:r>
    </w:p>
    <w:p w:rsidR="00E25AC7" w:rsidRDefault="00E25AC7" w:rsidP="00CE09F4">
      <w:pPr>
        <w:spacing w:after="0" w:line="360" w:lineRule="auto"/>
        <w:ind w:firstLine="720"/>
        <w:jc w:val="both"/>
        <w:rPr>
          <w:rFonts w:ascii="Arial" w:hAnsi="Arial" w:cs="Arial"/>
          <w:sz w:val="24"/>
          <w:szCs w:val="24"/>
          <w:lang w:eastAsia="pt-BR"/>
        </w:rPr>
      </w:pPr>
      <w:r>
        <w:rPr>
          <w:rFonts w:ascii="Arial" w:hAnsi="Arial" w:cs="Arial"/>
          <w:sz w:val="24"/>
          <w:szCs w:val="24"/>
          <w:lang w:eastAsia="pt-BR"/>
        </w:rPr>
        <w:t>A</w:t>
      </w:r>
      <w:r w:rsidRPr="00452ADD">
        <w:rPr>
          <w:rFonts w:ascii="Arial" w:hAnsi="Arial" w:cs="Arial"/>
          <w:sz w:val="24"/>
          <w:szCs w:val="24"/>
          <w:lang w:eastAsia="pt-BR"/>
        </w:rPr>
        <w:t xml:space="preserve"> seguir apresentam-se os gastos por Função Saúde para os municípios selecionados</w:t>
      </w:r>
      <w:r>
        <w:rPr>
          <w:rFonts w:ascii="Arial" w:hAnsi="Arial" w:cs="Arial"/>
          <w:sz w:val="24"/>
          <w:szCs w:val="24"/>
          <w:lang w:eastAsia="pt-BR"/>
        </w:rPr>
        <w:t>, considerando o percentual frente à despesa total realizada nos municípios</w:t>
      </w:r>
      <w:r w:rsidRPr="00452ADD">
        <w:rPr>
          <w:rFonts w:ascii="Arial" w:hAnsi="Arial" w:cs="Arial"/>
          <w:sz w:val="24"/>
          <w:szCs w:val="24"/>
          <w:lang w:eastAsia="pt-BR"/>
        </w:rPr>
        <w:t>.</w:t>
      </w:r>
    </w:p>
    <w:p w:rsidR="00E25AC7" w:rsidRDefault="00E25AC7" w:rsidP="00BE5047">
      <w:pPr>
        <w:spacing w:after="0" w:line="240" w:lineRule="auto"/>
        <w:ind w:firstLine="720"/>
        <w:jc w:val="both"/>
        <w:rPr>
          <w:rFonts w:ascii="Arial" w:hAnsi="Arial" w:cs="Arial"/>
          <w:b/>
          <w:sz w:val="24"/>
          <w:szCs w:val="24"/>
          <w:lang w:eastAsia="pt-BR"/>
        </w:rPr>
      </w:pPr>
    </w:p>
    <w:p w:rsidR="00E25AC7" w:rsidRPr="00A430AD" w:rsidRDefault="00E25AC7" w:rsidP="00BE5047">
      <w:pPr>
        <w:spacing w:after="0" w:line="240" w:lineRule="auto"/>
        <w:ind w:firstLine="720"/>
        <w:jc w:val="both"/>
        <w:rPr>
          <w:rFonts w:ascii="Arial" w:hAnsi="Arial" w:cs="Arial"/>
          <w:b/>
          <w:sz w:val="24"/>
          <w:szCs w:val="24"/>
          <w:lang w:eastAsia="pt-BR"/>
        </w:rPr>
      </w:pPr>
      <w:r w:rsidRPr="00CE09F4">
        <w:rPr>
          <w:rFonts w:ascii="Arial" w:hAnsi="Arial" w:cs="Arial"/>
          <w:b/>
          <w:sz w:val="24"/>
          <w:szCs w:val="24"/>
          <w:lang w:eastAsia="pt-BR"/>
        </w:rPr>
        <w:t>Quadro 7</w:t>
      </w:r>
      <w:r>
        <w:rPr>
          <w:rFonts w:ascii="Arial" w:hAnsi="Arial" w:cs="Arial"/>
          <w:b/>
          <w:sz w:val="24"/>
          <w:szCs w:val="24"/>
          <w:lang w:eastAsia="pt-BR"/>
        </w:rPr>
        <w:t xml:space="preserve"> -</w:t>
      </w:r>
      <w:r w:rsidRPr="00452ADD">
        <w:rPr>
          <w:rFonts w:ascii="Arial" w:hAnsi="Arial" w:cs="Arial"/>
          <w:sz w:val="24"/>
          <w:szCs w:val="24"/>
          <w:lang w:eastAsia="pt-BR"/>
        </w:rPr>
        <w:t xml:space="preserve"> </w:t>
      </w:r>
      <w:r w:rsidRPr="00A430AD">
        <w:rPr>
          <w:rFonts w:ascii="Arial" w:hAnsi="Arial" w:cs="Arial"/>
          <w:b/>
          <w:sz w:val="24"/>
          <w:szCs w:val="24"/>
          <w:lang w:eastAsia="pt-BR"/>
        </w:rPr>
        <w:t xml:space="preserve">Percentual do gastos com a Função Saúde do gasto total realizado nos municípios de Itajaí, Balneário </w:t>
      </w:r>
      <w:proofErr w:type="spellStart"/>
      <w:r w:rsidRPr="00A430AD">
        <w:rPr>
          <w:rFonts w:ascii="Arial" w:hAnsi="Arial" w:cs="Arial"/>
          <w:b/>
          <w:sz w:val="24"/>
          <w:szCs w:val="24"/>
          <w:lang w:eastAsia="pt-BR"/>
        </w:rPr>
        <w:t>Camboriu</w:t>
      </w:r>
      <w:proofErr w:type="spellEnd"/>
      <w:r w:rsidRPr="00A430AD">
        <w:rPr>
          <w:rFonts w:ascii="Arial" w:hAnsi="Arial" w:cs="Arial"/>
          <w:b/>
          <w:sz w:val="24"/>
          <w:szCs w:val="24"/>
          <w:lang w:eastAsia="pt-BR"/>
        </w:rPr>
        <w:t xml:space="preserve"> e Itapema (2005 a 2010).</w:t>
      </w:r>
    </w:p>
    <w:p w:rsidR="00E25AC7" w:rsidRDefault="00E25AC7" w:rsidP="00BE5047">
      <w:pPr>
        <w:spacing w:after="0" w:line="240" w:lineRule="auto"/>
        <w:ind w:firstLine="720"/>
        <w:jc w:val="both"/>
        <w:rPr>
          <w:rFonts w:ascii="Arial" w:hAnsi="Arial" w:cs="Arial"/>
          <w:sz w:val="24"/>
          <w:szCs w:val="24"/>
          <w:lang w:eastAsia="pt-BR"/>
        </w:rPr>
      </w:pPr>
    </w:p>
    <w:tbl>
      <w:tblPr>
        <w:tblW w:w="6260" w:type="dxa"/>
        <w:jc w:val="center"/>
        <w:tblInd w:w="55" w:type="dxa"/>
        <w:tblCellMar>
          <w:left w:w="70" w:type="dxa"/>
          <w:right w:w="70" w:type="dxa"/>
        </w:tblCellMar>
        <w:tblLook w:val="00A0" w:firstRow="1" w:lastRow="0" w:firstColumn="1" w:lastColumn="0" w:noHBand="0" w:noVBand="0"/>
      </w:tblPr>
      <w:tblGrid>
        <w:gridCol w:w="1160"/>
        <w:gridCol w:w="1780"/>
        <w:gridCol w:w="1660"/>
        <w:gridCol w:w="1660"/>
      </w:tblGrid>
      <w:tr w:rsidR="00E25AC7" w:rsidRPr="008313B9" w:rsidTr="001727CA">
        <w:trPr>
          <w:trHeight w:val="612"/>
          <w:jc w:val="center"/>
        </w:trPr>
        <w:tc>
          <w:tcPr>
            <w:tcW w:w="1160" w:type="dxa"/>
            <w:tcBorders>
              <w:top w:val="single" w:sz="8" w:space="0" w:color="auto"/>
              <w:left w:val="single" w:sz="8" w:space="0" w:color="auto"/>
              <w:bottom w:val="single" w:sz="8" w:space="0" w:color="auto"/>
              <w:right w:val="single" w:sz="4" w:space="0" w:color="auto"/>
            </w:tcBorders>
            <w:shd w:val="clear" w:color="000000" w:fill="C4BD97"/>
            <w:vAlign w:val="center"/>
          </w:tcPr>
          <w:p w:rsidR="00E25AC7" w:rsidRPr="001727CA" w:rsidRDefault="00E25AC7" w:rsidP="001727CA">
            <w:pPr>
              <w:spacing w:after="0" w:line="240" w:lineRule="auto"/>
              <w:jc w:val="center"/>
              <w:rPr>
                <w:rFonts w:ascii="Arial" w:hAnsi="Arial" w:cs="Arial"/>
                <w:sz w:val="24"/>
                <w:szCs w:val="24"/>
                <w:lang w:eastAsia="pt-BR"/>
              </w:rPr>
            </w:pPr>
            <w:r w:rsidRPr="001727CA">
              <w:rPr>
                <w:rFonts w:ascii="Arial" w:hAnsi="Arial" w:cs="Arial"/>
                <w:sz w:val="24"/>
                <w:szCs w:val="24"/>
                <w:lang w:eastAsia="pt-BR"/>
              </w:rPr>
              <w:t xml:space="preserve">Períodos </w:t>
            </w:r>
          </w:p>
        </w:tc>
        <w:tc>
          <w:tcPr>
            <w:tcW w:w="1780" w:type="dxa"/>
            <w:tcBorders>
              <w:top w:val="single" w:sz="8" w:space="0" w:color="auto"/>
              <w:left w:val="nil"/>
              <w:bottom w:val="single" w:sz="8" w:space="0" w:color="auto"/>
              <w:right w:val="single" w:sz="4" w:space="0" w:color="auto"/>
            </w:tcBorders>
            <w:shd w:val="clear" w:color="000000" w:fill="C4BD97"/>
            <w:vAlign w:val="center"/>
          </w:tcPr>
          <w:p w:rsidR="00E25AC7" w:rsidRPr="001727CA" w:rsidRDefault="00E25AC7" w:rsidP="001727CA">
            <w:pPr>
              <w:spacing w:after="0" w:line="240" w:lineRule="auto"/>
              <w:jc w:val="center"/>
              <w:rPr>
                <w:rFonts w:ascii="Arial" w:hAnsi="Arial" w:cs="Arial"/>
                <w:sz w:val="24"/>
                <w:szCs w:val="24"/>
                <w:lang w:eastAsia="pt-BR"/>
              </w:rPr>
            </w:pPr>
            <w:r w:rsidRPr="001727CA">
              <w:rPr>
                <w:rFonts w:ascii="Arial" w:hAnsi="Arial" w:cs="Arial"/>
                <w:sz w:val="24"/>
                <w:szCs w:val="24"/>
                <w:lang w:eastAsia="pt-BR"/>
              </w:rPr>
              <w:t>Balneário Camboriú</w:t>
            </w:r>
          </w:p>
        </w:tc>
        <w:tc>
          <w:tcPr>
            <w:tcW w:w="1660" w:type="dxa"/>
            <w:tcBorders>
              <w:top w:val="single" w:sz="8" w:space="0" w:color="auto"/>
              <w:left w:val="nil"/>
              <w:bottom w:val="single" w:sz="8" w:space="0" w:color="auto"/>
              <w:right w:val="single" w:sz="4" w:space="0" w:color="auto"/>
            </w:tcBorders>
            <w:shd w:val="clear" w:color="000000" w:fill="C4BD97"/>
            <w:vAlign w:val="center"/>
          </w:tcPr>
          <w:p w:rsidR="00E25AC7" w:rsidRPr="001727CA" w:rsidRDefault="00E25AC7" w:rsidP="001727CA">
            <w:pPr>
              <w:spacing w:after="0" w:line="240" w:lineRule="auto"/>
              <w:jc w:val="center"/>
              <w:rPr>
                <w:rFonts w:ascii="Arial" w:hAnsi="Arial" w:cs="Arial"/>
                <w:sz w:val="24"/>
                <w:szCs w:val="24"/>
                <w:lang w:eastAsia="pt-BR"/>
              </w:rPr>
            </w:pPr>
            <w:r w:rsidRPr="001727CA">
              <w:rPr>
                <w:rFonts w:ascii="Arial" w:hAnsi="Arial" w:cs="Arial"/>
                <w:sz w:val="24"/>
                <w:szCs w:val="24"/>
                <w:lang w:eastAsia="pt-BR"/>
              </w:rPr>
              <w:t>Itajaí</w:t>
            </w:r>
          </w:p>
        </w:tc>
        <w:tc>
          <w:tcPr>
            <w:tcW w:w="1660" w:type="dxa"/>
            <w:tcBorders>
              <w:top w:val="single" w:sz="8" w:space="0" w:color="auto"/>
              <w:left w:val="nil"/>
              <w:bottom w:val="single" w:sz="8" w:space="0" w:color="auto"/>
              <w:right w:val="single" w:sz="8" w:space="0" w:color="auto"/>
            </w:tcBorders>
            <w:shd w:val="clear" w:color="000000" w:fill="C4BD97"/>
            <w:vAlign w:val="center"/>
          </w:tcPr>
          <w:p w:rsidR="00E25AC7" w:rsidRPr="001727CA" w:rsidRDefault="00E25AC7" w:rsidP="001727CA">
            <w:pPr>
              <w:spacing w:after="0" w:line="240" w:lineRule="auto"/>
              <w:jc w:val="center"/>
              <w:rPr>
                <w:rFonts w:ascii="Arial" w:hAnsi="Arial" w:cs="Arial"/>
                <w:sz w:val="24"/>
                <w:szCs w:val="24"/>
                <w:lang w:eastAsia="pt-BR"/>
              </w:rPr>
            </w:pPr>
            <w:r w:rsidRPr="001727CA">
              <w:rPr>
                <w:rFonts w:ascii="Arial" w:hAnsi="Arial" w:cs="Arial"/>
                <w:sz w:val="24"/>
                <w:szCs w:val="24"/>
                <w:lang w:eastAsia="pt-BR"/>
              </w:rPr>
              <w:t>Itapema</w:t>
            </w:r>
          </w:p>
        </w:tc>
      </w:tr>
      <w:tr w:rsidR="00E25AC7" w:rsidRPr="008313B9" w:rsidTr="001727CA">
        <w:trPr>
          <w:trHeight w:val="312"/>
          <w:jc w:val="center"/>
        </w:trPr>
        <w:tc>
          <w:tcPr>
            <w:tcW w:w="1160" w:type="dxa"/>
            <w:tcBorders>
              <w:top w:val="nil"/>
              <w:left w:val="single" w:sz="8" w:space="0" w:color="auto"/>
              <w:bottom w:val="single" w:sz="4" w:space="0" w:color="auto"/>
              <w:right w:val="single" w:sz="4" w:space="0" w:color="auto"/>
            </w:tcBorders>
            <w:vAlign w:val="center"/>
          </w:tcPr>
          <w:p w:rsidR="00E25AC7" w:rsidRPr="001727CA" w:rsidRDefault="00E25AC7" w:rsidP="001727CA">
            <w:pPr>
              <w:spacing w:after="0" w:line="240" w:lineRule="auto"/>
              <w:jc w:val="center"/>
              <w:rPr>
                <w:rFonts w:ascii="Arial" w:hAnsi="Arial" w:cs="Arial"/>
                <w:sz w:val="24"/>
                <w:szCs w:val="24"/>
                <w:lang w:eastAsia="pt-BR"/>
              </w:rPr>
            </w:pPr>
            <w:r w:rsidRPr="001727CA">
              <w:rPr>
                <w:rFonts w:ascii="Arial" w:hAnsi="Arial" w:cs="Arial"/>
                <w:sz w:val="24"/>
                <w:szCs w:val="24"/>
                <w:lang w:eastAsia="pt-BR"/>
              </w:rPr>
              <w:t>2005</w:t>
            </w:r>
          </w:p>
        </w:tc>
        <w:tc>
          <w:tcPr>
            <w:tcW w:w="1780" w:type="dxa"/>
            <w:tcBorders>
              <w:top w:val="nil"/>
              <w:left w:val="nil"/>
              <w:bottom w:val="single" w:sz="4" w:space="0" w:color="auto"/>
              <w:right w:val="single" w:sz="4" w:space="0" w:color="auto"/>
            </w:tcBorders>
            <w:noWrap/>
            <w:vAlign w:val="bottom"/>
          </w:tcPr>
          <w:p w:rsidR="00E25AC7" w:rsidRPr="001727CA" w:rsidRDefault="00E25AC7" w:rsidP="001727CA">
            <w:pPr>
              <w:spacing w:after="0" w:line="240" w:lineRule="auto"/>
              <w:jc w:val="center"/>
              <w:rPr>
                <w:rFonts w:ascii="Arial" w:hAnsi="Arial" w:cs="Arial"/>
                <w:sz w:val="24"/>
                <w:szCs w:val="24"/>
                <w:lang w:eastAsia="pt-BR"/>
              </w:rPr>
            </w:pPr>
            <w:r w:rsidRPr="001727CA">
              <w:rPr>
                <w:rFonts w:ascii="Arial" w:hAnsi="Arial" w:cs="Arial"/>
                <w:sz w:val="24"/>
                <w:szCs w:val="24"/>
                <w:lang w:eastAsia="pt-BR"/>
              </w:rPr>
              <w:t>20,57%</w:t>
            </w:r>
          </w:p>
        </w:tc>
        <w:tc>
          <w:tcPr>
            <w:tcW w:w="1660" w:type="dxa"/>
            <w:tcBorders>
              <w:top w:val="nil"/>
              <w:left w:val="nil"/>
              <w:bottom w:val="single" w:sz="4" w:space="0" w:color="auto"/>
              <w:right w:val="single" w:sz="4" w:space="0" w:color="auto"/>
            </w:tcBorders>
            <w:noWrap/>
            <w:vAlign w:val="bottom"/>
          </w:tcPr>
          <w:p w:rsidR="00E25AC7" w:rsidRPr="001727CA" w:rsidRDefault="00E25AC7" w:rsidP="001727CA">
            <w:pPr>
              <w:spacing w:after="0" w:line="240" w:lineRule="auto"/>
              <w:jc w:val="center"/>
              <w:rPr>
                <w:rFonts w:ascii="Arial" w:hAnsi="Arial" w:cs="Arial"/>
                <w:sz w:val="24"/>
                <w:szCs w:val="24"/>
                <w:lang w:eastAsia="pt-BR"/>
              </w:rPr>
            </w:pPr>
            <w:r w:rsidRPr="001727CA">
              <w:rPr>
                <w:rFonts w:ascii="Arial" w:hAnsi="Arial" w:cs="Arial"/>
                <w:sz w:val="24"/>
                <w:szCs w:val="24"/>
                <w:lang w:eastAsia="pt-BR"/>
              </w:rPr>
              <w:t>15,90%</w:t>
            </w:r>
          </w:p>
        </w:tc>
        <w:tc>
          <w:tcPr>
            <w:tcW w:w="1660" w:type="dxa"/>
            <w:tcBorders>
              <w:top w:val="nil"/>
              <w:left w:val="nil"/>
              <w:bottom w:val="single" w:sz="4" w:space="0" w:color="auto"/>
              <w:right w:val="single" w:sz="8" w:space="0" w:color="auto"/>
            </w:tcBorders>
            <w:noWrap/>
            <w:vAlign w:val="bottom"/>
          </w:tcPr>
          <w:p w:rsidR="00E25AC7" w:rsidRPr="001727CA" w:rsidRDefault="00E25AC7" w:rsidP="001727CA">
            <w:pPr>
              <w:spacing w:after="0" w:line="240" w:lineRule="auto"/>
              <w:jc w:val="center"/>
              <w:rPr>
                <w:rFonts w:ascii="Arial" w:hAnsi="Arial" w:cs="Arial"/>
                <w:sz w:val="24"/>
                <w:szCs w:val="24"/>
                <w:lang w:eastAsia="pt-BR"/>
              </w:rPr>
            </w:pPr>
            <w:r w:rsidRPr="001727CA">
              <w:rPr>
                <w:rFonts w:ascii="Arial" w:hAnsi="Arial" w:cs="Arial"/>
                <w:sz w:val="24"/>
                <w:szCs w:val="24"/>
                <w:lang w:eastAsia="pt-BR"/>
              </w:rPr>
              <w:t>14,04%</w:t>
            </w:r>
          </w:p>
        </w:tc>
      </w:tr>
      <w:tr w:rsidR="00E25AC7" w:rsidRPr="008313B9" w:rsidTr="001727CA">
        <w:trPr>
          <w:trHeight w:val="312"/>
          <w:jc w:val="center"/>
        </w:trPr>
        <w:tc>
          <w:tcPr>
            <w:tcW w:w="1160" w:type="dxa"/>
            <w:tcBorders>
              <w:top w:val="nil"/>
              <w:left w:val="single" w:sz="8" w:space="0" w:color="auto"/>
              <w:bottom w:val="single" w:sz="4" w:space="0" w:color="auto"/>
              <w:right w:val="single" w:sz="4" w:space="0" w:color="auto"/>
            </w:tcBorders>
            <w:vAlign w:val="center"/>
          </w:tcPr>
          <w:p w:rsidR="00E25AC7" w:rsidRPr="001727CA" w:rsidRDefault="00E25AC7" w:rsidP="001727CA">
            <w:pPr>
              <w:spacing w:after="0" w:line="240" w:lineRule="auto"/>
              <w:jc w:val="center"/>
              <w:rPr>
                <w:rFonts w:ascii="Arial" w:hAnsi="Arial" w:cs="Arial"/>
                <w:sz w:val="24"/>
                <w:szCs w:val="24"/>
                <w:lang w:eastAsia="pt-BR"/>
              </w:rPr>
            </w:pPr>
            <w:r w:rsidRPr="001727CA">
              <w:rPr>
                <w:rFonts w:ascii="Arial" w:hAnsi="Arial" w:cs="Arial"/>
                <w:sz w:val="24"/>
                <w:szCs w:val="24"/>
                <w:lang w:eastAsia="pt-BR"/>
              </w:rPr>
              <w:t>2006</w:t>
            </w:r>
          </w:p>
        </w:tc>
        <w:tc>
          <w:tcPr>
            <w:tcW w:w="1780" w:type="dxa"/>
            <w:tcBorders>
              <w:top w:val="nil"/>
              <w:left w:val="nil"/>
              <w:bottom w:val="single" w:sz="4" w:space="0" w:color="auto"/>
              <w:right w:val="single" w:sz="4" w:space="0" w:color="auto"/>
            </w:tcBorders>
            <w:noWrap/>
            <w:vAlign w:val="bottom"/>
          </w:tcPr>
          <w:p w:rsidR="00E25AC7" w:rsidRPr="001727CA" w:rsidRDefault="00E25AC7" w:rsidP="001727CA">
            <w:pPr>
              <w:spacing w:after="0" w:line="240" w:lineRule="auto"/>
              <w:jc w:val="center"/>
              <w:rPr>
                <w:rFonts w:ascii="Arial" w:hAnsi="Arial" w:cs="Arial"/>
                <w:sz w:val="24"/>
                <w:szCs w:val="24"/>
                <w:lang w:eastAsia="pt-BR"/>
              </w:rPr>
            </w:pPr>
            <w:r w:rsidRPr="001727CA">
              <w:rPr>
                <w:rFonts w:ascii="Arial" w:hAnsi="Arial" w:cs="Arial"/>
                <w:sz w:val="24"/>
                <w:szCs w:val="24"/>
                <w:lang w:eastAsia="pt-BR"/>
              </w:rPr>
              <w:t>16,72%</w:t>
            </w:r>
          </w:p>
        </w:tc>
        <w:tc>
          <w:tcPr>
            <w:tcW w:w="1660" w:type="dxa"/>
            <w:tcBorders>
              <w:top w:val="nil"/>
              <w:left w:val="nil"/>
              <w:bottom w:val="single" w:sz="4" w:space="0" w:color="auto"/>
              <w:right w:val="single" w:sz="4" w:space="0" w:color="auto"/>
            </w:tcBorders>
            <w:noWrap/>
            <w:vAlign w:val="bottom"/>
          </w:tcPr>
          <w:p w:rsidR="00E25AC7" w:rsidRPr="001727CA" w:rsidRDefault="00E25AC7" w:rsidP="001727CA">
            <w:pPr>
              <w:spacing w:after="0" w:line="240" w:lineRule="auto"/>
              <w:jc w:val="center"/>
              <w:rPr>
                <w:rFonts w:ascii="Arial" w:hAnsi="Arial" w:cs="Arial"/>
                <w:sz w:val="24"/>
                <w:szCs w:val="24"/>
                <w:lang w:eastAsia="pt-BR"/>
              </w:rPr>
            </w:pPr>
            <w:r w:rsidRPr="001727CA">
              <w:rPr>
                <w:rFonts w:ascii="Arial" w:hAnsi="Arial" w:cs="Arial"/>
                <w:sz w:val="24"/>
                <w:szCs w:val="24"/>
                <w:lang w:eastAsia="pt-BR"/>
              </w:rPr>
              <w:t>16,97%</w:t>
            </w:r>
          </w:p>
        </w:tc>
        <w:tc>
          <w:tcPr>
            <w:tcW w:w="1660" w:type="dxa"/>
            <w:tcBorders>
              <w:top w:val="nil"/>
              <w:left w:val="nil"/>
              <w:bottom w:val="single" w:sz="4" w:space="0" w:color="auto"/>
              <w:right w:val="single" w:sz="8" w:space="0" w:color="auto"/>
            </w:tcBorders>
            <w:noWrap/>
            <w:vAlign w:val="bottom"/>
          </w:tcPr>
          <w:p w:rsidR="00E25AC7" w:rsidRPr="001727CA" w:rsidRDefault="00E25AC7" w:rsidP="001727CA">
            <w:pPr>
              <w:spacing w:after="0" w:line="240" w:lineRule="auto"/>
              <w:jc w:val="center"/>
              <w:rPr>
                <w:rFonts w:ascii="Arial" w:hAnsi="Arial" w:cs="Arial"/>
                <w:sz w:val="24"/>
                <w:szCs w:val="24"/>
                <w:lang w:eastAsia="pt-BR"/>
              </w:rPr>
            </w:pPr>
            <w:r w:rsidRPr="001727CA">
              <w:rPr>
                <w:rFonts w:ascii="Arial" w:hAnsi="Arial" w:cs="Arial"/>
                <w:sz w:val="24"/>
                <w:szCs w:val="24"/>
                <w:lang w:eastAsia="pt-BR"/>
              </w:rPr>
              <w:t>15,43%</w:t>
            </w:r>
          </w:p>
        </w:tc>
      </w:tr>
      <w:tr w:rsidR="00E25AC7" w:rsidRPr="008313B9" w:rsidTr="001727CA">
        <w:trPr>
          <w:trHeight w:val="312"/>
          <w:jc w:val="center"/>
        </w:trPr>
        <w:tc>
          <w:tcPr>
            <w:tcW w:w="1160" w:type="dxa"/>
            <w:tcBorders>
              <w:top w:val="nil"/>
              <w:left w:val="single" w:sz="8" w:space="0" w:color="auto"/>
              <w:bottom w:val="single" w:sz="4" w:space="0" w:color="auto"/>
              <w:right w:val="single" w:sz="4" w:space="0" w:color="auto"/>
            </w:tcBorders>
            <w:vAlign w:val="center"/>
          </w:tcPr>
          <w:p w:rsidR="00E25AC7" w:rsidRPr="001727CA" w:rsidRDefault="00E25AC7" w:rsidP="001727CA">
            <w:pPr>
              <w:spacing w:after="0" w:line="240" w:lineRule="auto"/>
              <w:jc w:val="center"/>
              <w:rPr>
                <w:rFonts w:ascii="Arial" w:hAnsi="Arial" w:cs="Arial"/>
                <w:sz w:val="24"/>
                <w:szCs w:val="24"/>
                <w:lang w:eastAsia="pt-BR"/>
              </w:rPr>
            </w:pPr>
            <w:r w:rsidRPr="001727CA">
              <w:rPr>
                <w:rFonts w:ascii="Arial" w:hAnsi="Arial" w:cs="Arial"/>
                <w:sz w:val="24"/>
                <w:szCs w:val="24"/>
                <w:lang w:eastAsia="pt-BR"/>
              </w:rPr>
              <w:t>2007</w:t>
            </w:r>
          </w:p>
        </w:tc>
        <w:tc>
          <w:tcPr>
            <w:tcW w:w="1780" w:type="dxa"/>
            <w:tcBorders>
              <w:top w:val="nil"/>
              <w:left w:val="nil"/>
              <w:bottom w:val="single" w:sz="4" w:space="0" w:color="auto"/>
              <w:right w:val="single" w:sz="4" w:space="0" w:color="auto"/>
            </w:tcBorders>
            <w:noWrap/>
            <w:vAlign w:val="bottom"/>
          </w:tcPr>
          <w:p w:rsidR="00E25AC7" w:rsidRPr="001727CA" w:rsidRDefault="00E25AC7" w:rsidP="001727CA">
            <w:pPr>
              <w:spacing w:after="0" w:line="240" w:lineRule="auto"/>
              <w:jc w:val="center"/>
              <w:rPr>
                <w:rFonts w:ascii="Arial" w:hAnsi="Arial" w:cs="Arial"/>
                <w:sz w:val="24"/>
                <w:szCs w:val="24"/>
                <w:lang w:eastAsia="pt-BR"/>
              </w:rPr>
            </w:pPr>
            <w:r w:rsidRPr="001727CA">
              <w:rPr>
                <w:rFonts w:ascii="Arial" w:hAnsi="Arial" w:cs="Arial"/>
                <w:sz w:val="24"/>
                <w:szCs w:val="24"/>
                <w:lang w:eastAsia="pt-BR"/>
              </w:rPr>
              <w:t>20,49%</w:t>
            </w:r>
          </w:p>
        </w:tc>
        <w:tc>
          <w:tcPr>
            <w:tcW w:w="1660" w:type="dxa"/>
            <w:tcBorders>
              <w:top w:val="nil"/>
              <w:left w:val="nil"/>
              <w:bottom w:val="single" w:sz="4" w:space="0" w:color="auto"/>
              <w:right w:val="single" w:sz="4" w:space="0" w:color="auto"/>
            </w:tcBorders>
            <w:noWrap/>
            <w:vAlign w:val="bottom"/>
          </w:tcPr>
          <w:p w:rsidR="00E25AC7" w:rsidRPr="001727CA" w:rsidRDefault="00E25AC7" w:rsidP="001727CA">
            <w:pPr>
              <w:spacing w:after="0" w:line="240" w:lineRule="auto"/>
              <w:jc w:val="center"/>
              <w:rPr>
                <w:rFonts w:ascii="Arial" w:hAnsi="Arial" w:cs="Arial"/>
                <w:sz w:val="24"/>
                <w:szCs w:val="24"/>
                <w:lang w:eastAsia="pt-BR"/>
              </w:rPr>
            </w:pPr>
            <w:r w:rsidRPr="001727CA">
              <w:rPr>
                <w:rFonts w:ascii="Arial" w:hAnsi="Arial" w:cs="Arial"/>
                <w:sz w:val="24"/>
                <w:szCs w:val="24"/>
                <w:lang w:eastAsia="pt-BR"/>
              </w:rPr>
              <w:t>16,70%</w:t>
            </w:r>
          </w:p>
        </w:tc>
        <w:tc>
          <w:tcPr>
            <w:tcW w:w="1660" w:type="dxa"/>
            <w:tcBorders>
              <w:top w:val="nil"/>
              <w:left w:val="nil"/>
              <w:bottom w:val="single" w:sz="4" w:space="0" w:color="auto"/>
              <w:right w:val="single" w:sz="8" w:space="0" w:color="auto"/>
            </w:tcBorders>
            <w:noWrap/>
            <w:vAlign w:val="bottom"/>
          </w:tcPr>
          <w:p w:rsidR="00E25AC7" w:rsidRPr="001727CA" w:rsidRDefault="00E25AC7" w:rsidP="001727CA">
            <w:pPr>
              <w:spacing w:after="0" w:line="240" w:lineRule="auto"/>
              <w:jc w:val="center"/>
              <w:rPr>
                <w:rFonts w:ascii="Arial" w:hAnsi="Arial" w:cs="Arial"/>
                <w:sz w:val="24"/>
                <w:szCs w:val="24"/>
                <w:lang w:eastAsia="pt-BR"/>
              </w:rPr>
            </w:pPr>
            <w:r w:rsidRPr="001727CA">
              <w:rPr>
                <w:rFonts w:ascii="Arial" w:hAnsi="Arial" w:cs="Arial"/>
                <w:sz w:val="24"/>
                <w:szCs w:val="24"/>
                <w:lang w:eastAsia="pt-BR"/>
              </w:rPr>
              <w:t>15,50%</w:t>
            </w:r>
          </w:p>
        </w:tc>
      </w:tr>
      <w:tr w:rsidR="00E25AC7" w:rsidRPr="008313B9" w:rsidTr="001727CA">
        <w:trPr>
          <w:trHeight w:val="312"/>
          <w:jc w:val="center"/>
        </w:trPr>
        <w:tc>
          <w:tcPr>
            <w:tcW w:w="1160" w:type="dxa"/>
            <w:tcBorders>
              <w:top w:val="nil"/>
              <w:left w:val="single" w:sz="8" w:space="0" w:color="auto"/>
              <w:bottom w:val="single" w:sz="4" w:space="0" w:color="auto"/>
              <w:right w:val="single" w:sz="4" w:space="0" w:color="auto"/>
            </w:tcBorders>
            <w:vAlign w:val="center"/>
          </w:tcPr>
          <w:p w:rsidR="00E25AC7" w:rsidRPr="001727CA" w:rsidRDefault="00E25AC7" w:rsidP="001727CA">
            <w:pPr>
              <w:spacing w:after="0" w:line="240" w:lineRule="auto"/>
              <w:jc w:val="center"/>
              <w:rPr>
                <w:rFonts w:ascii="Arial" w:hAnsi="Arial" w:cs="Arial"/>
                <w:sz w:val="24"/>
                <w:szCs w:val="24"/>
                <w:lang w:eastAsia="pt-BR"/>
              </w:rPr>
            </w:pPr>
            <w:r w:rsidRPr="001727CA">
              <w:rPr>
                <w:rFonts w:ascii="Arial" w:hAnsi="Arial" w:cs="Arial"/>
                <w:sz w:val="24"/>
                <w:szCs w:val="24"/>
                <w:lang w:eastAsia="pt-BR"/>
              </w:rPr>
              <w:t>2008</w:t>
            </w:r>
          </w:p>
        </w:tc>
        <w:tc>
          <w:tcPr>
            <w:tcW w:w="1780" w:type="dxa"/>
            <w:tcBorders>
              <w:top w:val="nil"/>
              <w:left w:val="nil"/>
              <w:bottom w:val="single" w:sz="4" w:space="0" w:color="auto"/>
              <w:right w:val="single" w:sz="4" w:space="0" w:color="auto"/>
            </w:tcBorders>
            <w:noWrap/>
            <w:vAlign w:val="bottom"/>
          </w:tcPr>
          <w:p w:rsidR="00E25AC7" w:rsidRPr="001727CA" w:rsidRDefault="00E25AC7" w:rsidP="001727CA">
            <w:pPr>
              <w:spacing w:after="0" w:line="240" w:lineRule="auto"/>
              <w:jc w:val="center"/>
              <w:rPr>
                <w:rFonts w:ascii="Arial" w:hAnsi="Arial" w:cs="Arial"/>
                <w:sz w:val="24"/>
                <w:szCs w:val="24"/>
                <w:lang w:eastAsia="pt-BR"/>
              </w:rPr>
            </w:pPr>
            <w:r w:rsidRPr="001727CA">
              <w:rPr>
                <w:rFonts w:ascii="Arial" w:hAnsi="Arial" w:cs="Arial"/>
                <w:sz w:val="24"/>
                <w:szCs w:val="24"/>
                <w:lang w:eastAsia="pt-BR"/>
              </w:rPr>
              <w:t>20,27%</w:t>
            </w:r>
          </w:p>
        </w:tc>
        <w:tc>
          <w:tcPr>
            <w:tcW w:w="1660" w:type="dxa"/>
            <w:tcBorders>
              <w:top w:val="nil"/>
              <w:left w:val="nil"/>
              <w:bottom w:val="single" w:sz="4" w:space="0" w:color="auto"/>
              <w:right w:val="single" w:sz="4" w:space="0" w:color="auto"/>
            </w:tcBorders>
            <w:noWrap/>
            <w:vAlign w:val="bottom"/>
          </w:tcPr>
          <w:p w:rsidR="00E25AC7" w:rsidRPr="001727CA" w:rsidRDefault="00E25AC7" w:rsidP="001727CA">
            <w:pPr>
              <w:spacing w:after="0" w:line="240" w:lineRule="auto"/>
              <w:jc w:val="center"/>
              <w:rPr>
                <w:rFonts w:ascii="Arial" w:hAnsi="Arial" w:cs="Arial"/>
                <w:sz w:val="24"/>
                <w:szCs w:val="24"/>
                <w:lang w:eastAsia="pt-BR"/>
              </w:rPr>
            </w:pPr>
            <w:r w:rsidRPr="001727CA">
              <w:rPr>
                <w:rFonts w:ascii="Arial" w:hAnsi="Arial" w:cs="Arial"/>
                <w:sz w:val="24"/>
                <w:szCs w:val="24"/>
                <w:lang w:eastAsia="pt-BR"/>
              </w:rPr>
              <w:t>18,03%</w:t>
            </w:r>
          </w:p>
        </w:tc>
        <w:tc>
          <w:tcPr>
            <w:tcW w:w="1660" w:type="dxa"/>
            <w:tcBorders>
              <w:top w:val="nil"/>
              <w:left w:val="nil"/>
              <w:bottom w:val="single" w:sz="4" w:space="0" w:color="auto"/>
              <w:right w:val="single" w:sz="8" w:space="0" w:color="auto"/>
            </w:tcBorders>
            <w:noWrap/>
            <w:vAlign w:val="bottom"/>
          </w:tcPr>
          <w:p w:rsidR="00E25AC7" w:rsidRPr="001727CA" w:rsidRDefault="00E25AC7" w:rsidP="001727CA">
            <w:pPr>
              <w:spacing w:after="0" w:line="240" w:lineRule="auto"/>
              <w:jc w:val="center"/>
              <w:rPr>
                <w:rFonts w:ascii="Arial" w:hAnsi="Arial" w:cs="Arial"/>
                <w:sz w:val="24"/>
                <w:szCs w:val="24"/>
                <w:lang w:eastAsia="pt-BR"/>
              </w:rPr>
            </w:pPr>
            <w:r w:rsidRPr="001727CA">
              <w:rPr>
                <w:rFonts w:ascii="Arial" w:hAnsi="Arial" w:cs="Arial"/>
                <w:sz w:val="24"/>
                <w:szCs w:val="24"/>
                <w:lang w:eastAsia="pt-BR"/>
              </w:rPr>
              <w:t>15,22%</w:t>
            </w:r>
          </w:p>
        </w:tc>
      </w:tr>
      <w:tr w:rsidR="00E25AC7" w:rsidRPr="008313B9" w:rsidTr="001727CA">
        <w:trPr>
          <w:trHeight w:val="312"/>
          <w:jc w:val="center"/>
        </w:trPr>
        <w:tc>
          <w:tcPr>
            <w:tcW w:w="1160" w:type="dxa"/>
            <w:tcBorders>
              <w:top w:val="nil"/>
              <w:left w:val="single" w:sz="8" w:space="0" w:color="auto"/>
              <w:bottom w:val="single" w:sz="4" w:space="0" w:color="auto"/>
              <w:right w:val="single" w:sz="4" w:space="0" w:color="auto"/>
            </w:tcBorders>
            <w:vAlign w:val="center"/>
          </w:tcPr>
          <w:p w:rsidR="00E25AC7" w:rsidRPr="001727CA" w:rsidRDefault="00E25AC7" w:rsidP="001727CA">
            <w:pPr>
              <w:spacing w:after="0" w:line="240" w:lineRule="auto"/>
              <w:jc w:val="center"/>
              <w:rPr>
                <w:rFonts w:ascii="Arial" w:hAnsi="Arial" w:cs="Arial"/>
                <w:sz w:val="24"/>
                <w:szCs w:val="24"/>
                <w:lang w:eastAsia="pt-BR"/>
              </w:rPr>
            </w:pPr>
            <w:r w:rsidRPr="001727CA">
              <w:rPr>
                <w:rFonts w:ascii="Arial" w:hAnsi="Arial" w:cs="Arial"/>
                <w:sz w:val="24"/>
                <w:szCs w:val="24"/>
                <w:lang w:eastAsia="pt-BR"/>
              </w:rPr>
              <w:t>2009</w:t>
            </w:r>
          </w:p>
        </w:tc>
        <w:tc>
          <w:tcPr>
            <w:tcW w:w="1780" w:type="dxa"/>
            <w:tcBorders>
              <w:top w:val="nil"/>
              <w:left w:val="nil"/>
              <w:bottom w:val="single" w:sz="4" w:space="0" w:color="auto"/>
              <w:right w:val="single" w:sz="4" w:space="0" w:color="auto"/>
            </w:tcBorders>
            <w:noWrap/>
            <w:vAlign w:val="bottom"/>
          </w:tcPr>
          <w:p w:rsidR="00E25AC7" w:rsidRPr="001727CA" w:rsidRDefault="00E25AC7" w:rsidP="001727CA">
            <w:pPr>
              <w:spacing w:after="0" w:line="240" w:lineRule="auto"/>
              <w:jc w:val="center"/>
              <w:rPr>
                <w:rFonts w:ascii="Arial" w:hAnsi="Arial" w:cs="Arial"/>
                <w:sz w:val="24"/>
                <w:szCs w:val="24"/>
                <w:lang w:eastAsia="pt-BR"/>
              </w:rPr>
            </w:pPr>
            <w:r w:rsidRPr="001727CA">
              <w:rPr>
                <w:rFonts w:ascii="Arial" w:hAnsi="Arial" w:cs="Arial"/>
                <w:sz w:val="24"/>
                <w:szCs w:val="24"/>
                <w:lang w:eastAsia="pt-BR"/>
              </w:rPr>
              <w:t>19,50%</w:t>
            </w:r>
          </w:p>
        </w:tc>
        <w:tc>
          <w:tcPr>
            <w:tcW w:w="1660" w:type="dxa"/>
            <w:tcBorders>
              <w:top w:val="nil"/>
              <w:left w:val="nil"/>
              <w:bottom w:val="single" w:sz="4" w:space="0" w:color="auto"/>
              <w:right w:val="single" w:sz="4" w:space="0" w:color="auto"/>
            </w:tcBorders>
            <w:noWrap/>
            <w:vAlign w:val="bottom"/>
          </w:tcPr>
          <w:p w:rsidR="00E25AC7" w:rsidRPr="001727CA" w:rsidRDefault="00E25AC7" w:rsidP="001727CA">
            <w:pPr>
              <w:spacing w:after="0" w:line="240" w:lineRule="auto"/>
              <w:jc w:val="center"/>
              <w:rPr>
                <w:rFonts w:ascii="Arial" w:hAnsi="Arial" w:cs="Arial"/>
                <w:sz w:val="24"/>
                <w:szCs w:val="24"/>
                <w:lang w:eastAsia="pt-BR"/>
              </w:rPr>
            </w:pPr>
            <w:r w:rsidRPr="001727CA">
              <w:rPr>
                <w:rFonts w:ascii="Arial" w:hAnsi="Arial" w:cs="Arial"/>
                <w:sz w:val="24"/>
                <w:szCs w:val="24"/>
                <w:lang w:eastAsia="pt-BR"/>
              </w:rPr>
              <w:t>21,72%</w:t>
            </w:r>
          </w:p>
        </w:tc>
        <w:tc>
          <w:tcPr>
            <w:tcW w:w="1660" w:type="dxa"/>
            <w:tcBorders>
              <w:top w:val="nil"/>
              <w:left w:val="nil"/>
              <w:bottom w:val="single" w:sz="4" w:space="0" w:color="auto"/>
              <w:right w:val="single" w:sz="8" w:space="0" w:color="auto"/>
            </w:tcBorders>
            <w:noWrap/>
            <w:vAlign w:val="bottom"/>
          </w:tcPr>
          <w:p w:rsidR="00E25AC7" w:rsidRPr="001727CA" w:rsidRDefault="00E25AC7" w:rsidP="001727CA">
            <w:pPr>
              <w:spacing w:after="0" w:line="240" w:lineRule="auto"/>
              <w:jc w:val="center"/>
              <w:rPr>
                <w:rFonts w:ascii="Arial" w:hAnsi="Arial" w:cs="Arial"/>
                <w:sz w:val="24"/>
                <w:szCs w:val="24"/>
                <w:lang w:eastAsia="pt-BR"/>
              </w:rPr>
            </w:pPr>
            <w:r w:rsidRPr="001727CA">
              <w:rPr>
                <w:rFonts w:ascii="Arial" w:hAnsi="Arial" w:cs="Arial"/>
                <w:sz w:val="24"/>
                <w:szCs w:val="24"/>
                <w:lang w:eastAsia="pt-BR"/>
              </w:rPr>
              <w:t>16,50%</w:t>
            </w:r>
          </w:p>
        </w:tc>
      </w:tr>
      <w:tr w:rsidR="00E25AC7" w:rsidRPr="008313B9" w:rsidTr="001727CA">
        <w:trPr>
          <w:trHeight w:val="324"/>
          <w:jc w:val="center"/>
        </w:trPr>
        <w:tc>
          <w:tcPr>
            <w:tcW w:w="1160" w:type="dxa"/>
            <w:tcBorders>
              <w:top w:val="nil"/>
              <w:left w:val="single" w:sz="8" w:space="0" w:color="auto"/>
              <w:bottom w:val="single" w:sz="8" w:space="0" w:color="auto"/>
              <w:right w:val="single" w:sz="4" w:space="0" w:color="auto"/>
            </w:tcBorders>
            <w:vAlign w:val="center"/>
          </w:tcPr>
          <w:p w:rsidR="00E25AC7" w:rsidRPr="001727CA" w:rsidRDefault="00E25AC7" w:rsidP="001727CA">
            <w:pPr>
              <w:spacing w:after="0" w:line="240" w:lineRule="auto"/>
              <w:jc w:val="center"/>
              <w:rPr>
                <w:rFonts w:ascii="Arial" w:hAnsi="Arial" w:cs="Arial"/>
                <w:sz w:val="24"/>
                <w:szCs w:val="24"/>
                <w:lang w:eastAsia="pt-BR"/>
              </w:rPr>
            </w:pPr>
            <w:r w:rsidRPr="001727CA">
              <w:rPr>
                <w:rFonts w:ascii="Arial" w:hAnsi="Arial" w:cs="Arial"/>
                <w:sz w:val="24"/>
                <w:szCs w:val="24"/>
                <w:lang w:eastAsia="pt-BR"/>
              </w:rPr>
              <w:t>2010</w:t>
            </w:r>
          </w:p>
        </w:tc>
        <w:tc>
          <w:tcPr>
            <w:tcW w:w="1780" w:type="dxa"/>
            <w:tcBorders>
              <w:top w:val="nil"/>
              <w:left w:val="nil"/>
              <w:bottom w:val="single" w:sz="8" w:space="0" w:color="auto"/>
              <w:right w:val="single" w:sz="4" w:space="0" w:color="auto"/>
            </w:tcBorders>
            <w:noWrap/>
            <w:vAlign w:val="bottom"/>
          </w:tcPr>
          <w:p w:rsidR="00E25AC7" w:rsidRPr="001727CA" w:rsidRDefault="00E25AC7" w:rsidP="001727CA">
            <w:pPr>
              <w:spacing w:after="0" w:line="240" w:lineRule="auto"/>
              <w:jc w:val="center"/>
              <w:rPr>
                <w:rFonts w:ascii="Arial" w:hAnsi="Arial" w:cs="Arial"/>
                <w:sz w:val="24"/>
                <w:szCs w:val="24"/>
                <w:lang w:eastAsia="pt-BR"/>
              </w:rPr>
            </w:pPr>
            <w:r>
              <w:rPr>
                <w:rFonts w:ascii="Arial" w:hAnsi="Arial" w:cs="Arial"/>
                <w:sz w:val="24"/>
                <w:szCs w:val="24"/>
                <w:lang w:eastAsia="pt-BR"/>
              </w:rPr>
              <w:t>20,50</w:t>
            </w:r>
            <w:r w:rsidRPr="001727CA">
              <w:rPr>
                <w:rFonts w:ascii="Arial" w:hAnsi="Arial" w:cs="Arial"/>
                <w:sz w:val="24"/>
                <w:szCs w:val="24"/>
                <w:lang w:eastAsia="pt-BR"/>
              </w:rPr>
              <w:t>%</w:t>
            </w:r>
          </w:p>
        </w:tc>
        <w:tc>
          <w:tcPr>
            <w:tcW w:w="1660" w:type="dxa"/>
            <w:tcBorders>
              <w:top w:val="nil"/>
              <w:left w:val="nil"/>
              <w:bottom w:val="single" w:sz="8" w:space="0" w:color="auto"/>
              <w:right w:val="single" w:sz="4" w:space="0" w:color="auto"/>
            </w:tcBorders>
            <w:noWrap/>
            <w:vAlign w:val="bottom"/>
          </w:tcPr>
          <w:p w:rsidR="00E25AC7" w:rsidRPr="001727CA" w:rsidRDefault="00E25AC7" w:rsidP="001727CA">
            <w:pPr>
              <w:spacing w:after="0" w:line="240" w:lineRule="auto"/>
              <w:jc w:val="center"/>
              <w:rPr>
                <w:rFonts w:ascii="Arial" w:hAnsi="Arial" w:cs="Arial"/>
                <w:sz w:val="24"/>
                <w:szCs w:val="24"/>
                <w:lang w:eastAsia="pt-BR"/>
              </w:rPr>
            </w:pPr>
            <w:r w:rsidRPr="001727CA">
              <w:rPr>
                <w:rFonts w:ascii="Arial" w:hAnsi="Arial" w:cs="Arial"/>
                <w:sz w:val="24"/>
                <w:szCs w:val="24"/>
                <w:lang w:eastAsia="pt-BR"/>
              </w:rPr>
              <w:t>21,14%</w:t>
            </w:r>
          </w:p>
        </w:tc>
        <w:tc>
          <w:tcPr>
            <w:tcW w:w="1660" w:type="dxa"/>
            <w:tcBorders>
              <w:top w:val="nil"/>
              <w:left w:val="nil"/>
              <w:bottom w:val="single" w:sz="8" w:space="0" w:color="auto"/>
              <w:right w:val="single" w:sz="8" w:space="0" w:color="auto"/>
            </w:tcBorders>
            <w:noWrap/>
            <w:vAlign w:val="bottom"/>
          </w:tcPr>
          <w:p w:rsidR="00E25AC7" w:rsidRPr="001727CA" w:rsidRDefault="00E25AC7" w:rsidP="001727CA">
            <w:pPr>
              <w:spacing w:after="0" w:line="240" w:lineRule="auto"/>
              <w:jc w:val="center"/>
              <w:rPr>
                <w:rFonts w:ascii="Arial" w:hAnsi="Arial" w:cs="Arial"/>
                <w:sz w:val="24"/>
                <w:szCs w:val="24"/>
                <w:lang w:eastAsia="pt-BR"/>
              </w:rPr>
            </w:pPr>
            <w:r w:rsidRPr="001727CA">
              <w:rPr>
                <w:rFonts w:ascii="Arial" w:hAnsi="Arial" w:cs="Arial"/>
                <w:sz w:val="24"/>
                <w:szCs w:val="24"/>
                <w:lang w:eastAsia="pt-BR"/>
              </w:rPr>
              <w:t>17,19%</w:t>
            </w:r>
          </w:p>
        </w:tc>
      </w:tr>
    </w:tbl>
    <w:p w:rsidR="00E25AC7" w:rsidRPr="00D677DF" w:rsidRDefault="00E25AC7" w:rsidP="00DE4A7C">
      <w:pPr>
        <w:spacing w:after="0" w:line="360" w:lineRule="auto"/>
        <w:jc w:val="center"/>
        <w:rPr>
          <w:rFonts w:ascii="Arial" w:hAnsi="Arial" w:cs="Arial"/>
          <w:sz w:val="20"/>
          <w:szCs w:val="20"/>
          <w:lang w:eastAsia="pt-BR"/>
        </w:rPr>
      </w:pPr>
      <w:r w:rsidRPr="00D677DF">
        <w:rPr>
          <w:rFonts w:ascii="Arial" w:hAnsi="Arial" w:cs="Arial"/>
          <w:sz w:val="20"/>
          <w:szCs w:val="20"/>
          <w:lang w:eastAsia="pt-BR"/>
        </w:rPr>
        <w:t>Fonte: elaborado pelos autores com base em TCE/SC (2012).</w:t>
      </w:r>
    </w:p>
    <w:p w:rsidR="00E25AC7" w:rsidRPr="00DE26CF" w:rsidRDefault="00E25AC7" w:rsidP="0066243A">
      <w:pPr>
        <w:spacing w:after="0" w:line="360" w:lineRule="auto"/>
        <w:jc w:val="both"/>
        <w:rPr>
          <w:rFonts w:ascii="Arial" w:hAnsi="Arial" w:cs="Arial"/>
          <w:bCs/>
          <w:sz w:val="24"/>
          <w:szCs w:val="24"/>
          <w:lang w:eastAsia="pt-BR"/>
        </w:rPr>
      </w:pPr>
      <w:r>
        <w:rPr>
          <w:rFonts w:ascii="Arial" w:hAnsi="Arial" w:cs="Arial"/>
          <w:b/>
          <w:bCs/>
          <w:sz w:val="24"/>
          <w:szCs w:val="24"/>
          <w:lang w:eastAsia="pt-BR"/>
        </w:rPr>
        <w:lastRenderedPageBreak/>
        <w:tab/>
      </w:r>
      <w:r w:rsidRPr="00DE26CF">
        <w:rPr>
          <w:rFonts w:ascii="Arial" w:hAnsi="Arial" w:cs="Arial"/>
          <w:bCs/>
          <w:sz w:val="24"/>
          <w:szCs w:val="24"/>
          <w:lang w:eastAsia="pt-BR"/>
        </w:rPr>
        <w:t xml:space="preserve">Através do quadro 7, pode-se observar que Balneário </w:t>
      </w:r>
      <w:proofErr w:type="spellStart"/>
      <w:r w:rsidRPr="00DE26CF">
        <w:rPr>
          <w:rFonts w:ascii="Arial" w:hAnsi="Arial" w:cs="Arial"/>
          <w:bCs/>
          <w:sz w:val="24"/>
          <w:szCs w:val="24"/>
          <w:lang w:eastAsia="pt-BR"/>
        </w:rPr>
        <w:t>Camboriu</w:t>
      </w:r>
      <w:proofErr w:type="spellEnd"/>
      <w:r w:rsidRPr="00DE26CF">
        <w:rPr>
          <w:rFonts w:ascii="Arial" w:hAnsi="Arial" w:cs="Arial"/>
          <w:bCs/>
          <w:sz w:val="24"/>
          <w:szCs w:val="24"/>
          <w:lang w:eastAsia="pt-BR"/>
        </w:rPr>
        <w:t xml:space="preserve"> quando comparado com </w:t>
      </w:r>
      <w:r>
        <w:rPr>
          <w:rFonts w:ascii="Arial" w:hAnsi="Arial" w:cs="Arial"/>
          <w:bCs/>
          <w:sz w:val="24"/>
          <w:szCs w:val="24"/>
          <w:lang w:eastAsia="pt-BR"/>
        </w:rPr>
        <w:t xml:space="preserve">o município de </w:t>
      </w:r>
      <w:proofErr w:type="spellStart"/>
      <w:r>
        <w:rPr>
          <w:rFonts w:ascii="Arial" w:hAnsi="Arial" w:cs="Arial"/>
          <w:bCs/>
          <w:sz w:val="24"/>
          <w:szCs w:val="24"/>
          <w:lang w:eastAsia="pt-BR"/>
        </w:rPr>
        <w:t>Itajai</w:t>
      </w:r>
      <w:proofErr w:type="spellEnd"/>
      <w:r>
        <w:rPr>
          <w:rFonts w:ascii="Arial" w:hAnsi="Arial" w:cs="Arial"/>
          <w:bCs/>
          <w:sz w:val="24"/>
          <w:szCs w:val="24"/>
          <w:lang w:eastAsia="pt-BR"/>
        </w:rPr>
        <w:t xml:space="preserve">, tem três </w:t>
      </w:r>
      <w:r w:rsidRPr="00DE26CF">
        <w:rPr>
          <w:rFonts w:ascii="Arial" w:hAnsi="Arial" w:cs="Arial"/>
          <w:bCs/>
          <w:sz w:val="24"/>
          <w:szCs w:val="24"/>
          <w:lang w:eastAsia="pt-BR"/>
        </w:rPr>
        <w:t xml:space="preserve">períodos com gastos superiores do seu orçamento na Função </w:t>
      </w:r>
      <w:r>
        <w:rPr>
          <w:rFonts w:ascii="Arial" w:hAnsi="Arial" w:cs="Arial"/>
          <w:bCs/>
          <w:sz w:val="24"/>
          <w:szCs w:val="24"/>
          <w:lang w:eastAsia="pt-BR"/>
        </w:rPr>
        <w:t>S</w:t>
      </w:r>
      <w:r w:rsidRPr="00DE26CF">
        <w:rPr>
          <w:rFonts w:ascii="Arial" w:hAnsi="Arial" w:cs="Arial"/>
          <w:bCs/>
          <w:sz w:val="24"/>
          <w:szCs w:val="24"/>
          <w:lang w:eastAsia="pt-BR"/>
        </w:rPr>
        <w:t xml:space="preserve">aúde, que foram respectivamente para os anos de </w:t>
      </w:r>
      <w:r>
        <w:rPr>
          <w:rFonts w:ascii="Arial" w:hAnsi="Arial" w:cs="Arial"/>
          <w:bCs/>
          <w:sz w:val="24"/>
          <w:szCs w:val="24"/>
          <w:lang w:eastAsia="pt-BR"/>
        </w:rPr>
        <w:t xml:space="preserve">2005, 2007 e 2008. Com relação ao município de Itapema, Balneário </w:t>
      </w:r>
      <w:proofErr w:type="spellStart"/>
      <w:r>
        <w:rPr>
          <w:rFonts w:ascii="Arial" w:hAnsi="Arial" w:cs="Arial"/>
          <w:bCs/>
          <w:sz w:val="24"/>
          <w:szCs w:val="24"/>
          <w:lang w:eastAsia="pt-BR"/>
        </w:rPr>
        <w:t>Camboriu</w:t>
      </w:r>
      <w:proofErr w:type="spellEnd"/>
      <w:r>
        <w:rPr>
          <w:rFonts w:ascii="Arial" w:hAnsi="Arial" w:cs="Arial"/>
          <w:bCs/>
          <w:sz w:val="24"/>
          <w:szCs w:val="24"/>
          <w:lang w:eastAsia="pt-BR"/>
        </w:rPr>
        <w:t xml:space="preserve"> e Itajaí apresentaram percentuais mais altos de aplicação em todos os anos.</w:t>
      </w:r>
    </w:p>
    <w:p w:rsidR="00E25AC7" w:rsidRDefault="00E25AC7" w:rsidP="0070121B">
      <w:pPr>
        <w:spacing w:after="0" w:line="240" w:lineRule="auto"/>
        <w:rPr>
          <w:rFonts w:ascii="Arial" w:hAnsi="Arial" w:cs="Arial"/>
          <w:b/>
          <w:bCs/>
          <w:sz w:val="24"/>
          <w:szCs w:val="24"/>
          <w:lang w:eastAsia="pt-BR"/>
        </w:rPr>
      </w:pPr>
    </w:p>
    <w:p w:rsidR="00E25AC7" w:rsidRDefault="00E25AC7" w:rsidP="00EA6B83">
      <w:pPr>
        <w:pStyle w:val="SemEspaamento"/>
        <w:spacing w:line="360" w:lineRule="auto"/>
        <w:jc w:val="both"/>
        <w:rPr>
          <w:rFonts w:ascii="Arial" w:hAnsi="Arial" w:cs="Arial"/>
          <w:b/>
          <w:sz w:val="24"/>
          <w:szCs w:val="24"/>
        </w:rPr>
      </w:pPr>
      <w:r w:rsidRPr="00EA6B83">
        <w:rPr>
          <w:rFonts w:ascii="Arial" w:hAnsi="Arial" w:cs="Arial"/>
          <w:b/>
          <w:sz w:val="24"/>
          <w:szCs w:val="24"/>
        </w:rPr>
        <w:t>Considerações</w:t>
      </w:r>
      <w:r>
        <w:rPr>
          <w:rFonts w:ascii="Arial" w:hAnsi="Arial" w:cs="Arial"/>
          <w:b/>
          <w:sz w:val="24"/>
          <w:szCs w:val="24"/>
        </w:rPr>
        <w:t xml:space="preserve"> finais</w:t>
      </w:r>
    </w:p>
    <w:p w:rsidR="00E25AC7" w:rsidRPr="00EA6B83" w:rsidRDefault="00E25AC7" w:rsidP="00EA6B83">
      <w:pPr>
        <w:pStyle w:val="SemEspaamento"/>
        <w:spacing w:line="360" w:lineRule="auto"/>
        <w:ind w:firstLine="708"/>
        <w:jc w:val="both"/>
        <w:rPr>
          <w:rFonts w:ascii="Arial" w:hAnsi="Arial" w:cs="Arial"/>
          <w:sz w:val="24"/>
          <w:szCs w:val="24"/>
          <w:lang w:eastAsia="pt-BR"/>
        </w:rPr>
      </w:pPr>
      <w:r w:rsidRPr="00EA6B83">
        <w:rPr>
          <w:rFonts w:ascii="Arial" w:hAnsi="Arial" w:cs="Arial"/>
          <w:sz w:val="24"/>
          <w:szCs w:val="24"/>
        </w:rPr>
        <w:t xml:space="preserve">Pode-se perceber que a preocupação com a saúde é verificada desde a chegada da corte </w:t>
      </w:r>
      <w:r w:rsidRPr="00EA6B83">
        <w:rPr>
          <w:rFonts w:ascii="Arial" w:hAnsi="Arial" w:cs="Arial"/>
          <w:sz w:val="24"/>
          <w:szCs w:val="24"/>
          <w:lang w:eastAsia="pt-BR"/>
        </w:rPr>
        <w:t>portuguesa ao Brasil e que no decorrer da história do país, o tema - saúde sempre foi discutido e lembrado, tendo como o grande ápice, a promulgação da Constituição da Republica Federativa do Brasil - CRFB,</w:t>
      </w:r>
      <w:r>
        <w:rPr>
          <w:rFonts w:ascii="Arial" w:hAnsi="Arial" w:cs="Arial"/>
          <w:sz w:val="24"/>
          <w:szCs w:val="24"/>
          <w:lang w:eastAsia="pt-BR"/>
        </w:rPr>
        <w:t xml:space="preserve"> no ano de 1988, onde traz </w:t>
      </w:r>
      <w:r w:rsidRPr="00EA6B83">
        <w:rPr>
          <w:rFonts w:ascii="Arial" w:hAnsi="Arial" w:cs="Arial"/>
          <w:sz w:val="24"/>
          <w:szCs w:val="24"/>
          <w:lang w:eastAsia="pt-BR"/>
        </w:rPr>
        <w:t>no seu escopo que a saúde é dever do Estado e direito de todos, sendo criado o Sistema Único de Saúde – SUS, instituído por meio da Lei Orgânica 8.080/90.</w:t>
      </w:r>
    </w:p>
    <w:p w:rsidR="00E25AC7" w:rsidRPr="00361DC8" w:rsidRDefault="00E25AC7" w:rsidP="000E5C5E">
      <w:pPr>
        <w:spacing w:after="0" w:line="360" w:lineRule="auto"/>
        <w:ind w:firstLine="708"/>
        <w:jc w:val="both"/>
        <w:rPr>
          <w:rFonts w:ascii="Arial" w:hAnsi="Arial" w:cs="Arial"/>
          <w:sz w:val="24"/>
          <w:szCs w:val="24"/>
          <w:lang w:eastAsia="pt-BR"/>
        </w:rPr>
      </w:pPr>
      <w:r w:rsidRPr="00361DC8">
        <w:rPr>
          <w:rFonts w:ascii="Arial" w:hAnsi="Arial" w:cs="Arial"/>
          <w:sz w:val="24"/>
          <w:szCs w:val="24"/>
          <w:lang w:eastAsia="pt-BR"/>
        </w:rPr>
        <w:t>Tal preocupação também fez com que a União delimitasse um percentual a ser empregado de recurso próprio de cada ente federativo, a fim de que fossem cobertos os gastos com o Sistema Único de Saúde – SUS e conseguintemente atendimento aos usuários do serviço da saúde, que recorrem ao referido programa de assistência.</w:t>
      </w:r>
    </w:p>
    <w:p w:rsidR="00E25AC7" w:rsidRPr="00361DC8" w:rsidRDefault="00E25AC7" w:rsidP="000E5C5E">
      <w:pPr>
        <w:spacing w:after="0" w:line="360" w:lineRule="auto"/>
        <w:ind w:firstLine="708"/>
        <w:jc w:val="both"/>
        <w:rPr>
          <w:rFonts w:ascii="Arial" w:hAnsi="Arial" w:cs="Arial"/>
          <w:sz w:val="24"/>
          <w:szCs w:val="24"/>
          <w:lang w:eastAsia="pt-BR"/>
        </w:rPr>
      </w:pPr>
      <w:r w:rsidRPr="00361DC8">
        <w:rPr>
          <w:rFonts w:ascii="Arial" w:hAnsi="Arial" w:cs="Arial"/>
          <w:sz w:val="24"/>
          <w:szCs w:val="24"/>
          <w:lang w:eastAsia="pt-BR"/>
        </w:rPr>
        <w:t xml:space="preserve"> A </w:t>
      </w:r>
      <w:r>
        <w:rPr>
          <w:rFonts w:ascii="Arial" w:hAnsi="Arial" w:cs="Arial"/>
          <w:sz w:val="24"/>
          <w:szCs w:val="24"/>
          <w:lang w:eastAsia="pt-BR"/>
        </w:rPr>
        <w:t xml:space="preserve">análise da </w:t>
      </w:r>
      <w:r w:rsidRPr="00361DC8">
        <w:rPr>
          <w:rFonts w:ascii="Arial" w:hAnsi="Arial" w:cs="Arial"/>
          <w:sz w:val="24"/>
          <w:szCs w:val="24"/>
          <w:lang w:eastAsia="pt-BR"/>
        </w:rPr>
        <w:t xml:space="preserve">eficiência dos </w:t>
      </w:r>
      <w:r>
        <w:rPr>
          <w:rFonts w:ascii="Arial" w:hAnsi="Arial" w:cs="Arial"/>
          <w:sz w:val="24"/>
          <w:szCs w:val="24"/>
          <w:lang w:eastAsia="pt-BR"/>
        </w:rPr>
        <w:t xml:space="preserve">recursos financeiros destinados aos </w:t>
      </w:r>
      <w:r w:rsidRPr="00361DC8">
        <w:rPr>
          <w:rFonts w:ascii="Arial" w:hAnsi="Arial" w:cs="Arial"/>
          <w:sz w:val="24"/>
          <w:szCs w:val="24"/>
          <w:lang w:eastAsia="pt-BR"/>
        </w:rPr>
        <w:t>programas de saúde, desenvolvidos por meio do SUS,</w:t>
      </w:r>
      <w:r>
        <w:rPr>
          <w:rFonts w:ascii="Arial" w:hAnsi="Arial" w:cs="Arial"/>
          <w:sz w:val="24"/>
          <w:szCs w:val="24"/>
          <w:lang w:eastAsia="pt-BR"/>
        </w:rPr>
        <w:t xml:space="preserve"> podem ser realizados através do estudo de </w:t>
      </w:r>
      <w:r w:rsidRPr="00361DC8">
        <w:rPr>
          <w:rFonts w:ascii="Arial" w:hAnsi="Arial" w:cs="Arial"/>
          <w:sz w:val="24"/>
          <w:szCs w:val="24"/>
          <w:lang w:eastAsia="pt-BR"/>
        </w:rPr>
        <w:t xml:space="preserve"> indicadores, onde nesta pesquisa foram estudados alguns destes de responsabilidade fiscal</w:t>
      </w:r>
      <w:r>
        <w:rPr>
          <w:rFonts w:ascii="Arial" w:hAnsi="Arial" w:cs="Arial"/>
          <w:sz w:val="24"/>
          <w:szCs w:val="24"/>
          <w:lang w:eastAsia="pt-BR"/>
        </w:rPr>
        <w:t xml:space="preserve"> e de </w:t>
      </w:r>
      <w:r w:rsidRPr="00DB2EF4">
        <w:rPr>
          <w:rFonts w:ascii="Arial" w:hAnsi="Arial" w:cs="Arial"/>
          <w:i/>
          <w:sz w:val="24"/>
          <w:szCs w:val="24"/>
          <w:lang w:eastAsia="pt-BR"/>
        </w:rPr>
        <w:t>performance</w:t>
      </w:r>
      <w:r w:rsidRPr="00361DC8">
        <w:rPr>
          <w:rFonts w:ascii="Arial" w:hAnsi="Arial" w:cs="Arial"/>
          <w:sz w:val="24"/>
          <w:szCs w:val="24"/>
          <w:lang w:eastAsia="pt-BR"/>
        </w:rPr>
        <w:t>, onde observa-se que no quesito aplicação do recurso mínimo atribuído a saúde os municípios estudados – Balneário Camboriú, Itajaí e Itapema, cumpriram na sua totalidade, em todos os casos até foi superado o percentual destinado a saúde.</w:t>
      </w:r>
    </w:p>
    <w:p w:rsidR="00E25AC7" w:rsidRDefault="00E25AC7" w:rsidP="00BB0E48">
      <w:pPr>
        <w:spacing w:after="0" w:line="360" w:lineRule="auto"/>
        <w:ind w:firstLine="708"/>
        <w:jc w:val="both"/>
        <w:rPr>
          <w:rFonts w:ascii="Arial" w:hAnsi="Arial" w:cs="Arial"/>
          <w:sz w:val="24"/>
          <w:szCs w:val="24"/>
          <w:lang w:eastAsia="pt-BR"/>
        </w:rPr>
      </w:pPr>
      <w:r w:rsidRPr="00361DC8">
        <w:rPr>
          <w:rFonts w:ascii="Arial" w:hAnsi="Arial" w:cs="Arial"/>
          <w:sz w:val="24"/>
          <w:szCs w:val="24"/>
          <w:lang w:eastAsia="pt-BR"/>
        </w:rPr>
        <w:t>Vale ressaltar, que apesar de se trabalhar com dados quantitativos oriundos de fonte seguras, percebe-se que não consegu</w:t>
      </w:r>
      <w:r>
        <w:rPr>
          <w:rFonts w:ascii="Arial" w:hAnsi="Arial" w:cs="Arial"/>
          <w:sz w:val="24"/>
          <w:szCs w:val="24"/>
          <w:lang w:eastAsia="pt-BR"/>
        </w:rPr>
        <w:t>e-se</w:t>
      </w:r>
      <w:r w:rsidRPr="00361DC8">
        <w:rPr>
          <w:rFonts w:ascii="Arial" w:hAnsi="Arial" w:cs="Arial"/>
          <w:sz w:val="24"/>
          <w:szCs w:val="24"/>
          <w:lang w:eastAsia="pt-BR"/>
        </w:rPr>
        <w:t xml:space="preserve"> mensurar a qualidade de atendimento ao cidadão usuário do SUS dos referidos municípios, pois mesmo havendo o alcance dos indicadores de responsabilidade fiscal – que a obrigação é definida por legislação, se tem uma inferência quanto a estes contribuíram para a satisfação da população de cada região, sendo neste</w:t>
      </w:r>
      <w:r>
        <w:rPr>
          <w:rFonts w:ascii="Arial" w:hAnsi="Arial" w:cs="Arial"/>
          <w:sz w:val="24"/>
          <w:szCs w:val="24"/>
          <w:lang w:eastAsia="pt-BR"/>
        </w:rPr>
        <w:t xml:space="preserve"> caso uma limitação da pesquisa.</w:t>
      </w:r>
    </w:p>
    <w:p w:rsidR="00E25AC7" w:rsidRDefault="00E25AC7" w:rsidP="00BB0E48">
      <w:pPr>
        <w:spacing w:after="0" w:line="360" w:lineRule="auto"/>
        <w:ind w:firstLine="708"/>
        <w:jc w:val="both"/>
        <w:rPr>
          <w:rFonts w:ascii="Arial" w:hAnsi="Arial" w:cs="Arial"/>
          <w:sz w:val="24"/>
          <w:szCs w:val="24"/>
          <w:lang w:eastAsia="pt-BR"/>
        </w:rPr>
      </w:pPr>
      <w:r w:rsidRPr="00361DC8">
        <w:rPr>
          <w:rFonts w:ascii="Arial" w:hAnsi="Arial" w:cs="Arial"/>
          <w:sz w:val="24"/>
          <w:szCs w:val="24"/>
          <w:lang w:eastAsia="pt-BR"/>
        </w:rPr>
        <w:t>Para finalizar</w:t>
      </w:r>
      <w:r>
        <w:rPr>
          <w:rFonts w:ascii="Arial" w:hAnsi="Arial" w:cs="Arial"/>
          <w:sz w:val="24"/>
          <w:szCs w:val="24"/>
          <w:lang w:eastAsia="pt-BR"/>
        </w:rPr>
        <w:t>, salienta-se que</w:t>
      </w:r>
      <w:r w:rsidRPr="00361DC8">
        <w:rPr>
          <w:rFonts w:ascii="Arial" w:hAnsi="Arial" w:cs="Arial"/>
          <w:sz w:val="24"/>
          <w:szCs w:val="24"/>
          <w:lang w:eastAsia="pt-BR"/>
        </w:rPr>
        <w:t xml:space="preserve"> o gerenciamento de indicadores realizado por meio do projeto Bússola</w:t>
      </w:r>
      <w:r>
        <w:rPr>
          <w:rFonts w:ascii="Arial" w:hAnsi="Arial" w:cs="Arial"/>
          <w:sz w:val="24"/>
          <w:szCs w:val="24"/>
          <w:lang w:eastAsia="pt-BR"/>
        </w:rPr>
        <w:t xml:space="preserve"> Municipal</w:t>
      </w:r>
      <w:r w:rsidRPr="00361DC8">
        <w:rPr>
          <w:rFonts w:ascii="Arial" w:hAnsi="Arial" w:cs="Arial"/>
          <w:sz w:val="24"/>
          <w:szCs w:val="24"/>
          <w:lang w:eastAsia="pt-BR"/>
        </w:rPr>
        <w:t xml:space="preserve"> </w:t>
      </w:r>
      <w:r>
        <w:rPr>
          <w:rFonts w:ascii="Arial" w:hAnsi="Arial" w:cs="Arial"/>
          <w:sz w:val="24"/>
          <w:szCs w:val="24"/>
          <w:lang w:eastAsia="pt-BR"/>
        </w:rPr>
        <w:t xml:space="preserve">pode </w:t>
      </w:r>
      <w:r w:rsidRPr="00361DC8">
        <w:rPr>
          <w:rFonts w:ascii="Arial" w:hAnsi="Arial" w:cs="Arial"/>
          <w:sz w:val="24"/>
          <w:szCs w:val="24"/>
          <w:lang w:eastAsia="pt-BR"/>
        </w:rPr>
        <w:t>auxilia</w:t>
      </w:r>
      <w:r>
        <w:rPr>
          <w:rFonts w:ascii="Arial" w:hAnsi="Arial" w:cs="Arial"/>
          <w:sz w:val="24"/>
          <w:szCs w:val="24"/>
          <w:lang w:eastAsia="pt-BR"/>
        </w:rPr>
        <w:t>r</w:t>
      </w:r>
      <w:r w:rsidRPr="00361DC8">
        <w:rPr>
          <w:rFonts w:ascii="Arial" w:hAnsi="Arial" w:cs="Arial"/>
          <w:sz w:val="24"/>
          <w:szCs w:val="24"/>
          <w:lang w:eastAsia="pt-BR"/>
        </w:rPr>
        <w:t xml:space="preserve"> ao executivo dos municípios para </w:t>
      </w:r>
      <w:r w:rsidRPr="00361DC8">
        <w:rPr>
          <w:rFonts w:ascii="Arial" w:hAnsi="Arial" w:cs="Arial"/>
          <w:sz w:val="24"/>
          <w:szCs w:val="24"/>
          <w:lang w:eastAsia="pt-BR"/>
        </w:rPr>
        <w:lastRenderedPageBreak/>
        <w:t xml:space="preserve">que a tomada de decisão seja pautada em indicadores consistente que demonstrem </w:t>
      </w:r>
      <w:r>
        <w:rPr>
          <w:rFonts w:ascii="Arial" w:hAnsi="Arial" w:cs="Arial"/>
          <w:sz w:val="24"/>
          <w:szCs w:val="24"/>
          <w:lang w:eastAsia="pt-BR"/>
        </w:rPr>
        <w:t xml:space="preserve">um rumo diante das aplicações dos recursos públicos </w:t>
      </w:r>
      <w:r w:rsidRPr="00361DC8">
        <w:rPr>
          <w:rFonts w:ascii="Arial" w:hAnsi="Arial" w:cs="Arial"/>
          <w:sz w:val="24"/>
          <w:szCs w:val="24"/>
          <w:lang w:eastAsia="pt-BR"/>
        </w:rPr>
        <w:t>dos serviços disponibilizados à população por meio da gestão pública, para que estes sejam realmente efetivos à q</w:t>
      </w:r>
      <w:r>
        <w:rPr>
          <w:rFonts w:ascii="Arial" w:hAnsi="Arial" w:cs="Arial"/>
          <w:sz w:val="24"/>
          <w:szCs w:val="24"/>
          <w:lang w:eastAsia="pt-BR"/>
        </w:rPr>
        <w:t>ualidade de vida dos munícipes.</w:t>
      </w:r>
    </w:p>
    <w:p w:rsidR="00E25AC7" w:rsidRDefault="00E25AC7" w:rsidP="00BB0E48">
      <w:pPr>
        <w:spacing w:after="0" w:line="360" w:lineRule="auto"/>
        <w:jc w:val="both"/>
        <w:rPr>
          <w:rFonts w:ascii="Arial" w:hAnsi="Arial" w:cs="Arial"/>
          <w:b/>
          <w:bCs/>
          <w:sz w:val="24"/>
          <w:szCs w:val="24"/>
          <w:lang w:eastAsia="pt-BR"/>
        </w:rPr>
      </w:pPr>
    </w:p>
    <w:p w:rsidR="00E25AC7" w:rsidRDefault="00E25AC7" w:rsidP="00237550">
      <w:pPr>
        <w:spacing w:after="0" w:line="240" w:lineRule="auto"/>
        <w:rPr>
          <w:rFonts w:ascii="Arial" w:hAnsi="Arial" w:cs="Arial"/>
          <w:b/>
          <w:bCs/>
          <w:sz w:val="24"/>
          <w:szCs w:val="24"/>
          <w:lang w:eastAsia="pt-BR"/>
        </w:rPr>
      </w:pPr>
      <w:r w:rsidRPr="00452ADD">
        <w:rPr>
          <w:rFonts w:ascii="Arial" w:hAnsi="Arial" w:cs="Arial"/>
          <w:b/>
          <w:bCs/>
          <w:sz w:val="24"/>
          <w:szCs w:val="24"/>
          <w:lang w:eastAsia="pt-BR"/>
        </w:rPr>
        <w:t>Referências</w:t>
      </w:r>
    </w:p>
    <w:p w:rsidR="00E25AC7" w:rsidRPr="0070121B" w:rsidRDefault="00E25AC7" w:rsidP="00237550">
      <w:pPr>
        <w:spacing w:after="0" w:line="240" w:lineRule="auto"/>
        <w:rPr>
          <w:rFonts w:ascii="Arial" w:hAnsi="Arial" w:cs="Arial"/>
          <w:sz w:val="24"/>
          <w:szCs w:val="24"/>
          <w:lang w:eastAsia="pt-BR"/>
        </w:rPr>
      </w:pPr>
      <w:r w:rsidRPr="00452ADD">
        <w:rPr>
          <w:rFonts w:ascii="Arial" w:hAnsi="Arial" w:cs="Arial"/>
          <w:sz w:val="24"/>
          <w:szCs w:val="24"/>
          <w:lang w:eastAsia="pt-BR"/>
        </w:rPr>
        <w:br/>
      </w:r>
      <w:r w:rsidRPr="0070121B">
        <w:rPr>
          <w:rFonts w:ascii="Arial" w:hAnsi="Arial" w:cs="Arial"/>
          <w:sz w:val="24"/>
          <w:szCs w:val="24"/>
          <w:lang w:eastAsia="pt-BR"/>
        </w:rPr>
        <w:t xml:space="preserve">BRASIL. Conselho Nacional de Secretários de Saúde. </w:t>
      </w:r>
      <w:r w:rsidRPr="0070121B">
        <w:rPr>
          <w:rFonts w:ascii="Arial" w:hAnsi="Arial" w:cs="Arial"/>
          <w:b/>
          <w:bCs/>
          <w:sz w:val="24"/>
          <w:szCs w:val="24"/>
          <w:lang w:eastAsia="pt-BR"/>
        </w:rPr>
        <w:t xml:space="preserve">Sistema Único de Saúde. </w:t>
      </w:r>
      <w:r w:rsidRPr="0070121B">
        <w:rPr>
          <w:rFonts w:ascii="Arial" w:hAnsi="Arial" w:cs="Arial"/>
          <w:sz w:val="24"/>
          <w:szCs w:val="24"/>
          <w:lang w:eastAsia="pt-BR"/>
        </w:rPr>
        <w:t>Coleção para entender a gestão do SUS 2011. vol. 1. Brasília</w:t>
      </w:r>
      <w:r>
        <w:rPr>
          <w:rFonts w:ascii="Arial" w:hAnsi="Arial" w:cs="Arial"/>
          <w:sz w:val="24"/>
          <w:szCs w:val="24"/>
          <w:lang w:eastAsia="pt-BR"/>
        </w:rPr>
        <w:t xml:space="preserve"> : CONASS, 2011. Disponível em: </w:t>
      </w:r>
      <w:r w:rsidRPr="0070121B">
        <w:rPr>
          <w:rFonts w:ascii="Arial" w:hAnsi="Arial" w:cs="Arial"/>
          <w:sz w:val="24"/>
          <w:szCs w:val="24"/>
          <w:lang w:eastAsia="pt-BR"/>
        </w:rPr>
        <w:t>http://bvsms.saude.gov.br/bvs/publicacoes/p</w:t>
      </w:r>
      <w:r>
        <w:rPr>
          <w:rFonts w:ascii="Arial" w:hAnsi="Arial" w:cs="Arial"/>
          <w:sz w:val="24"/>
          <w:szCs w:val="24"/>
          <w:lang w:eastAsia="pt-BR"/>
        </w:rPr>
        <w:t>ara_entender_gestao_sus_v.1.pdf. Acesso em</w:t>
      </w:r>
      <w:r w:rsidRPr="0070121B">
        <w:rPr>
          <w:rFonts w:ascii="Arial" w:hAnsi="Arial" w:cs="Arial"/>
          <w:sz w:val="24"/>
          <w:szCs w:val="24"/>
          <w:lang w:eastAsia="pt-BR"/>
        </w:rPr>
        <w:t xml:space="preserve"> 14 abr. 2012.</w:t>
      </w:r>
    </w:p>
    <w:p w:rsidR="00E25AC7" w:rsidRDefault="00E25AC7" w:rsidP="00D61D85">
      <w:pPr>
        <w:pStyle w:val="SemEspaamento"/>
        <w:rPr>
          <w:rFonts w:ascii="Arial" w:hAnsi="Arial" w:cs="Arial"/>
          <w:sz w:val="24"/>
          <w:szCs w:val="24"/>
          <w:lang w:eastAsia="pt-BR"/>
        </w:rPr>
      </w:pPr>
      <w:r w:rsidRPr="0070121B">
        <w:rPr>
          <w:rFonts w:ascii="Arial" w:hAnsi="Arial" w:cs="Arial"/>
          <w:sz w:val="24"/>
          <w:szCs w:val="24"/>
          <w:lang w:eastAsia="pt-BR"/>
        </w:rPr>
        <w:br/>
      </w:r>
      <w:r w:rsidRPr="0089793B">
        <w:rPr>
          <w:rFonts w:ascii="Arial" w:hAnsi="Arial" w:cs="Arial"/>
          <w:sz w:val="24"/>
          <w:szCs w:val="24"/>
          <w:lang w:eastAsia="pt-BR"/>
        </w:rPr>
        <w:t>______.</w:t>
      </w:r>
      <w:r w:rsidRPr="0070121B">
        <w:rPr>
          <w:rFonts w:ascii="Arial" w:hAnsi="Arial" w:cs="Arial"/>
          <w:sz w:val="24"/>
          <w:szCs w:val="24"/>
          <w:lang w:eastAsia="pt-BR"/>
        </w:rPr>
        <w:t xml:space="preserve"> </w:t>
      </w:r>
      <w:r w:rsidRPr="0070121B">
        <w:rPr>
          <w:rFonts w:ascii="Arial" w:hAnsi="Arial" w:cs="Arial"/>
          <w:b/>
          <w:bCs/>
          <w:sz w:val="24"/>
          <w:szCs w:val="24"/>
          <w:lang w:eastAsia="pt-BR"/>
        </w:rPr>
        <w:t>Constituição da República Federativa do Brasil</w:t>
      </w:r>
      <w:r w:rsidRPr="0070121B">
        <w:rPr>
          <w:rFonts w:ascii="Arial" w:hAnsi="Arial" w:cs="Arial"/>
          <w:sz w:val="24"/>
          <w:szCs w:val="24"/>
          <w:lang w:eastAsia="pt-BR"/>
        </w:rPr>
        <w:t>, de 5 de o</w:t>
      </w:r>
      <w:r>
        <w:rPr>
          <w:rFonts w:ascii="Arial" w:hAnsi="Arial" w:cs="Arial"/>
          <w:sz w:val="24"/>
          <w:szCs w:val="24"/>
          <w:lang w:eastAsia="pt-BR"/>
        </w:rPr>
        <w:t xml:space="preserve">utubro de 1988. Disponível em: </w:t>
      </w:r>
      <w:r w:rsidRPr="0070121B">
        <w:rPr>
          <w:rFonts w:ascii="Arial" w:hAnsi="Arial" w:cs="Arial"/>
          <w:sz w:val="24"/>
          <w:szCs w:val="24"/>
          <w:lang w:eastAsia="pt-BR"/>
        </w:rPr>
        <w:t>http://www.planalto.gov.br/ccivil_03/Con</w:t>
      </w:r>
      <w:r>
        <w:rPr>
          <w:rFonts w:ascii="Arial" w:hAnsi="Arial" w:cs="Arial"/>
          <w:sz w:val="24"/>
          <w:szCs w:val="24"/>
          <w:lang w:eastAsia="pt-BR"/>
        </w:rPr>
        <w:t>stituicao/Constitui%C3%A7ao.htm. Acesso em</w:t>
      </w:r>
      <w:r w:rsidRPr="0070121B">
        <w:rPr>
          <w:rFonts w:ascii="Arial" w:hAnsi="Arial" w:cs="Arial"/>
          <w:sz w:val="24"/>
          <w:szCs w:val="24"/>
          <w:lang w:eastAsia="pt-BR"/>
        </w:rPr>
        <w:t xml:space="preserve"> 14 abr. 2012</w:t>
      </w:r>
      <w:r>
        <w:rPr>
          <w:rFonts w:ascii="Arial" w:hAnsi="Arial" w:cs="Arial"/>
          <w:sz w:val="24"/>
          <w:szCs w:val="24"/>
          <w:lang w:eastAsia="pt-BR"/>
        </w:rPr>
        <w:t>a</w:t>
      </w:r>
      <w:r w:rsidRPr="0070121B">
        <w:rPr>
          <w:rFonts w:ascii="Arial" w:hAnsi="Arial" w:cs="Arial"/>
          <w:sz w:val="24"/>
          <w:szCs w:val="24"/>
          <w:lang w:eastAsia="pt-BR"/>
        </w:rPr>
        <w:t>.</w:t>
      </w:r>
    </w:p>
    <w:p w:rsidR="00E25AC7" w:rsidRDefault="00E25AC7" w:rsidP="00D61D85">
      <w:pPr>
        <w:pStyle w:val="SemEspaamento"/>
        <w:rPr>
          <w:rFonts w:ascii="Arial" w:hAnsi="Arial" w:cs="Arial"/>
          <w:sz w:val="24"/>
          <w:szCs w:val="24"/>
          <w:lang w:eastAsia="pt-BR"/>
        </w:rPr>
      </w:pPr>
    </w:p>
    <w:p w:rsidR="00E25AC7" w:rsidRDefault="00E25AC7" w:rsidP="00D61D85">
      <w:pPr>
        <w:pStyle w:val="SemEspaamento"/>
        <w:rPr>
          <w:rFonts w:ascii="Arial" w:hAnsi="Arial" w:cs="Arial"/>
          <w:sz w:val="24"/>
          <w:szCs w:val="24"/>
          <w:lang w:eastAsia="pt-BR"/>
        </w:rPr>
      </w:pPr>
      <w:r w:rsidRPr="0089793B">
        <w:rPr>
          <w:rFonts w:ascii="Arial" w:hAnsi="Arial" w:cs="Arial"/>
          <w:sz w:val="24"/>
          <w:szCs w:val="24"/>
          <w:lang w:eastAsia="pt-BR"/>
        </w:rPr>
        <w:t>______.</w:t>
      </w:r>
      <w:r>
        <w:rPr>
          <w:rFonts w:ascii="Arial" w:hAnsi="Arial" w:cs="Arial"/>
          <w:sz w:val="24"/>
          <w:szCs w:val="24"/>
          <w:lang w:eastAsia="pt-BR"/>
        </w:rPr>
        <w:t xml:space="preserve"> </w:t>
      </w:r>
      <w:r w:rsidRPr="00443D50">
        <w:rPr>
          <w:rFonts w:ascii="Arial" w:hAnsi="Arial" w:cs="Arial"/>
          <w:b/>
          <w:sz w:val="24"/>
          <w:szCs w:val="24"/>
          <w:lang w:eastAsia="pt-BR"/>
        </w:rPr>
        <w:t>Emenda Constitucional 29, de 13 de setembro de 2000.</w:t>
      </w:r>
      <w:r w:rsidRPr="00D61D85">
        <w:rPr>
          <w:rFonts w:ascii="Arial" w:hAnsi="Arial" w:cs="Arial"/>
          <w:sz w:val="24"/>
          <w:szCs w:val="24"/>
          <w:lang w:eastAsia="pt-BR"/>
        </w:rPr>
        <w:t xml:space="preserve"> Disponível em: </w:t>
      </w:r>
      <w:r w:rsidRPr="00D61D85">
        <w:rPr>
          <w:rFonts w:ascii="Arial" w:hAnsi="Arial" w:cs="Arial"/>
          <w:color w:val="009933"/>
          <w:sz w:val="24"/>
          <w:szCs w:val="24"/>
          <w:shd w:val="clear" w:color="auto" w:fill="FFFFFF"/>
        </w:rPr>
        <w:t xml:space="preserve"> </w:t>
      </w:r>
      <w:r w:rsidRPr="00D61D85">
        <w:rPr>
          <w:rFonts w:ascii="Arial" w:hAnsi="Arial" w:cs="Arial"/>
          <w:sz w:val="24"/>
          <w:szCs w:val="24"/>
          <w:shd w:val="clear" w:color="auto" w:fill="FFFFFF"/>
        </w:rPr>
        <w:t>www.planalto.gov.br/ccivil_03/constituicao/emendas/.../emc29.htm</w:t>
      </w:r>
      <w:r w:rsidRPr="00D61D85">
        <w:rPr>
          <w:rFonts w:ascii="Arial" w:hAnsi="Arial" w:cs="Arial"/>
          <w:sz w:val="24"/>
          <w:szCs w:val="24"/>
          <w:lang w:eastAsia="pt-BR"/>
        </w:rPr>
        <w:t>. Acesso em 18 abr. 2012</w:t>
      </w:r>
      <w:r>
        <w:rPr>
          <w:rFonts w:ascii="Arial" w:hAnsi="Arial" w:cs="Arial"/>
          <w:sz w:val="24"/>
          <w:szCs w:val="24"/>
          <w:lang w:eastAsia="pt-BR"/>
        </w:rPr>
        <w:t>b</w:t>
      </w:r>
      <w:r w:rsidRPr="00D61D85">
        <w:rPr>
          <w:rFonts w:ascii="Arial" w:hAnsi="Arial" w:cs="Arial"/>
          <w:sz w:val="24"/>
          <w:szCs w:val="24"/>
          <w:lang w:eastAsia="pt-BR"/>
        </w:rPr>
        <w:t>.</w:t>
      </w:r>
      <w:r w:rsidRPr="00D61D85">
        <w:rPr>
          <w:rFonts w:ascii="Arial" w:hAnsi="Arial" w:cs="Arial"/>
          <w:sz w:val="24"/>
          <w:szCs w:val="24"/>
          <w:lang w:eastAsia="pt-BR"/>
        </w:rPr>
        <w:br/>
      </w:r>
      <w:r w:rsidRPr="0070121B">
        <w:rPr>
          <w:rFonts w:ascii="Arial" w:hAnsi="Arial" w:cs="Arial"/>
          <w:sz w:val="24"/>
          <w:szCs w:val="24"/>
          <w:lang w:eastAsia="pt-BR"/>
        </w:rPr>
        <w:br/>
      </w:r>
      <w:r w:rsidRPr="0089793B">
        <w:rPr>
          <w:rFonts w:ascii="Arial" w:hAnsi="Arial" w:cs="Arial"/>
          <w:sz w:val="24"/>
          <w:szCs w:val="24"/>
          <w:lang w:eastAsia="pt-BR"/>
        </w:rPr>
        <w:t>______.</w:t>
      </w:r>
      <w:r w:rsidRPr="0070121B">
        <w:rPr>
          <w:rFonts w:ascii="Arial" w:hAnsi="Arial" w:cs="Arial"/>
          <w:sz w:val="24"/>
          <w:szCs w:val="24"/>
          <w:lang w:eastAsia="pt-BR"/>
        </w:rPr>
        <w:t xml:space="preserve"> </w:t>
      </w:r>
      <w:r w:rsidRPr="006B3912">
        <w:rPr>
          <w:rFonts w:ascii="Arial" w:hAnsi="Arial" w:cs="Arial"/>
          <w:b/>
          <w:bCs/>
          <w:sz w:val="24"/>
          <w:szCs w:val="24"/>
          <w:lang w:eastAsia="pt-BR"/>
        </w:rPr>
        <w:t>Lei 8.080</w:t>
      </w:r>
      <w:r w:rsidRPr="006B3912">
        <w:rPr>
          <w:rFonts w:ascii="Arial" w:hAnsi="Arial" w:cs="Arial"/>
          <w:b/>
          <w:sz w:val="24"/>
          <w:szCs w:val="24"/>
          <w:lang w:eastAsia="pt-BR"/>
        </w:rPr>
        <w:t>, de 19 de setembro de 1990.</w:t>
      </w:r>
      <w:r>
        <w:rPr>
          <w:rFonts w:ascii="Arial" w:hAnsi="Arial" w:cs="Arial"/>
          <w:sz w:val="24"/>
          <w:szCs w:val="24"/>
          <w:lang w:eastAsia="pt-BR"/>
        </w:rPr>
        <w:t xml:space="preserve"> Disponível em: </w:t>
      </w:r>
      <w:r w:rsidRPr="0070121B">
        <w:rPr>
          <w:rFonts w:ascii="Arial" w:hAnsi="Arial" w:cs="Arial"/>
          <w:sz w:val="24"/>
          <w:szCs w:val="24"/>
          <w:lang w:eastAsia="pt-BR"/>
        </w:rPr>
        <w:t>http://portal.saude.gov.br/portal/arquivos/pdf/lei8080.pdf</w:t>
      </w:r>
      <w:r>
        <w:rPr>
          <w:rFonts w:ascii="Arial" w:hAnsi="Arial" w:cs="Arial"/>
          <w:sz w:val="24"/>
          <w:szCs w:val="24"/>
          <w:lang w:eastAsia="pt-BR"/>
        </w:rPr>
        <w:t>. Acesso em</w:t>
      </w:r>
      <w:r w:rsidRPr="0070121B">
        <w:rPr>
          <w:rFonts w:ascii="Arial" w:hAnsi="Arial" w:cs="Arial"/>
          <w:sz w:val="24"/>
          <w:szCs w:val="24"/>
          <w:lang w:eastAsia="pt-BR"/>
        </w:rPr>
        <w:t xml:space="preserve"> 18 abr. 2012</w:t>
      </w:r>
      <w:r>
        <w:rPr>
          <w:rFonts w:ascii="Arial" w:hAnsi="Arial" w:cs="Arial"/>
          <w:sz w:val="24"/>
          <w:szCs w:val="24"/>
          <w:lang w:eastAsia="pt-BR"/>
        </w:rPr>
        <w:t>c</w:t>
      </w:r>
      <w:r w:rsidRPr="0070121B">
        <w:rPr>
          <w:rFonts w:ascii="Arial" w:hAnsi="Arial" w:cs="Arial"/>
          <w:sz w:val="24"/>
          <w:szCs w:val="24"/>
          <w:lang w:eastAsia="pt-BR"/>
        </w:rPr>
        <w:t>.</w:t>
      </w:r>
      <w:r w:rsidRPr="0070121B">
        <w:rPr>
          <w:rFonts w:ascii="Arial" w:hAnsi="Arial" w:cs="Arial"/>
          <w:sz w:val="24"/>
          <w:szCs w:val="24"/>
          <w:lang w:eastAsia="pt-BR"/>
        </w:rPr>
        <w:br/>
      </w:r>
    </w:p>
    <w:p w:rsidR="00E25AC7" w:rsidRPr="00CE08FE" w:rsidRDefault="00E25AC7" w:rsidP="0070121B">
      <w:pPr>
        <w:pStyle w:val="SemEspaamento"/>
        <w:rPr>
          <w:rFonts w:ascii="Arial" w:hAnsi="Arial" w:cs="Arial"/>
          <w:sz w:val="24"/>
          <w:szCs w:val="24"/>
          <w:lang w:eastAsia="pt-BR"/>
        </w:rPr>
      </w:pPr>
      <w:r w:rsidRPr="00CE08FE">
        <w:rPr>
          <w:rFonts w:ascii="Arial" w:hAnsi="Arial" w:cs="Arial"/>
          <w:sz w:val="24"/>
          <w:szCs w:val="24"/>
          <w:lang w:eastAsia="pt-BR"/>
        </w:rPr>
        <w:t xml:space="preserve">______. </w:t>
      </w:r>
      <w:r w:rsidRPr="00CE08FE">
        <w:rPr>
          <w:rFonts w:ascii="Arial" w:hAnsi="Arial" w:cs="Arial"/>
          <w:b/>
          <w:sz w:val="24"/>
          <w:szCs w:val="24"/>
          <w:lang w:eastAsia="pt-BR"/>
        </w:rPr>
        <w:t>Lei Complementar 141, de 13 de janeiro de 2012.</w:t>
      </w:r>
      <w:r w:rsidRPr="00CE08FE">
        <w:rPr>
          <w:rFonts w:ascii="Arial" w:hAnsi="Arial" w:cs="Arial"/>
          <w:sz w:val="24"/>
          <w:szCs w:val="24"/>
          <w:lang w:eastAsia="pt-BR"/>
        </w:rPr>
        <w:t xml:space="preserve"> Disponível em: </w:t>
      </w:r>
      <w:hyperlink r:id="rId9" w:history="1">
        <w:r w:rsidRPr="00CE08FE">
          <w:rPr>
            <w:rStyle w:val="Hyperlink"/>
            <w:rFonts w:ascii="Arial" w:hAnsi="Arial" w:cs="Arial"/>
            <w:color w:val="auto"/>
            <w:sz w:val="24"/>
            <w:szCs w:val="24"/>
            <w:u w:val="none"/>
            <w:shd w:val="clear" w:color="auto" w:fill="FFFFFF"/>
          </w:rPr>
          <w:t>www.planalto.gov.br/ccivil_03/</w:t>
        </w:r>
        <w:r w:rsidRPr="004426C4">
          <w:rPr>
            <w:rStyle w:val="Hyperlink"/>
            <w:rFonts w:ascii="Arial" w:hAnsi="Arial" w:cs="Arial"/>
            <w:bCs/>
            <w:color w:val="auto"/>
            <w:sz w:val="24"/>
            <w:szCs w:val="24"/>
            <w:u w:val="none"/>
            <w:shd w:val="clear" w:color="auto" w:fill="FFFFFF"/>
          </w:rPr>
          <w:t>lei</w:t>
        </w:r>
        <w:r w:rsidRPr="004426C4">
          <w:rPr>
            <w:rStyle w:val="Hyperlink"/>
            <w:rFonts w:ascii="Arial" w:hAnsi="Arial" w:cs="Arial"/>
            <w:color w:val="auto"/>
            <w:sz w:val="24"/>
            <w:szCs w:val="24"/>
            <w:u w:val="none"/>
            <w:shd w:val="clear" w:color="auto" w:fill="FFFFFF"/>
          </w:rPr>
          <w:t>s</w:t>
        </w:r>
        <w:r w:rsidRPr="00CE08FE">
          <w:rPr>
            <w:rStyle w:val="Hyperlink"/>
            <w:rFonts w:ascii="Arial" w:hAnsi="Arial" w:cs="Arial"/>
            <w:color w:val="auto"/>
            <w:sz w:val="24"/>
            <w:szCs w:val="24"/>
            <w:u w:val="none"/>
            <w:shd w:val="clear" w:color="auto" w:fill="FFFFFF"/>
          </w:rPr>
          <w:t>/LCP/Lcp</w:t>
        </w:r>
        <w:r w:rsidRPr="00CE08FE">
          <w:rPr>
            <w:rStyle w:val="Hyperlink"/>
            <w:rFonts w:ascii="Arial" w:hAnsi="Arial" w:cs="Arial"/>
            <w:bCs/>
            <w:color w:val="auto"/>
            <w:sz w:val="24"/>
            <w:szCs w:val="24"/>
            <w:u w:val="none"/>
            <w:shd w:val="clear" w:color="auto" w:fill="FFFFFF"/>
          </w:rPr>
          <w:t>141</w:t>
        </w:r>
        <w:r w:rsidRPr="00CE08FE">
          <w:rPr>
            <w:rStyle w:val="Hyperlink"/>
            <w:rFonts w:ascii="Arial" w:hAnsi="Arial" w:cs="Arial"/>
            <w:color w:val="auto"/>
            <w:sz w:val="24"/>
            <w:szCs w:val="24"/>
            <w:u w:val="none"/>
            <w:shd w:val="clear" w:color="auto" w:fill="FFFFFF"/>
          </w:rPr>
          <w:t>.htm</w:t>
        </w:r>
      </w:hyperlink>
      <w:r w:rsidRPr="00CE08FE">
        <w:rPr>
          <w:rFonts w:ascii="Arial" w:hAnsi="Arial" w:cs="Arial"/>
          <w:sz w:val="24"/>
          <w:szCs w:val="24"/>
          <w:shd w:val="clear" w:color="auto" w:fill="FFFFFF"/>
        </w:rPr>
        <w:t>. Acesso em 12 abr. 2012</w:t>
      </w:r>
      <w:r>
        <w:rPr>
          <w:rFonts w:ascii="Arial" w:hAnsi="Arial" w:cs="Arial"/>
          <w:sz w:val="24"/>
          <w:szCs w:val="24"/>
          <w:shd w:val="clear" w:color="auto" w:fill="FFFFFF"/>
        </w:rPr>
        <w:t>d</w:t>
      </w:r>
      <w:r w:rsidRPr="00CE08FE">
        <w:rPr>
          <w:rFonts w:ascii="Arial" w:hAnsi="Arial" w:cs="Arial"/>
          <w:sz w:val="24"/>
          <w:szCs w:val="24"/>
          <w:shd w:val="clear" w:color="auto" w:fill="FFFFFF"/>
        </w:rPr>
        <w:t>.</w:t>
      </w:r>
    </w:p>
    <w:p w:rsidR="00E25AC7" w:rsidRDefault="00E25AC7" w:rsidP="0070121B">
      <w:pPr>
        <w:pStyle w:val="SemEspaamento"/>
        <w:rPr>
          <w:rFonts w:ascii="Arial" w:hAnsi="Arial" w:cs="Arial"/>
          <w:sz w:val="24"/>
          <w:szCs w:val="24"/>
          <w:lang w:eastAsia="pt-BR"/>
        </w:rPr>
      </w:pPr>
    </w:p>
    <w:p w:rsidR="00E25AC7" w:rsidRPr="0011601E" w:rsidRDefault="00E25AC7" w:rsidP="00EF1D25">
      <w:pPr>
        <w:pStyle w:val="NormalWeb"/>
        <w:spacing w:before="0" w:beforeAutospacing="0" w:after="0" w:afterAutospacing="0"/>
        <w:rPr>
          <w:rFonts w:ascii="Arial" w:hAnsi="Arial" w:cs="Arial"/>
        </w:rPr>
      </w:pPr>
      <w:r w:rsidRPr="001456A5">
        <w:rPr>
          <w:rFonts w:ascii="Arial" w:hAnsi="Arial" w:cs="Arial"/>
        </w:rPr>
        <w:t xml:space="preserve">BLIESNER, </w:t>
      </w:r>
      <w:r w:rsidRPr="0011601E">
        <w:rPr>
          <w:rFonts w:ascii="Arial" w:hAnsi="Arial" w:cs="Arial"/>
        </w:rPr>
        <w:t>Magnus</w:t>
      </w:r>
      <w:r w:rsidRPr="0011601E">
        <w:rPr>
          <w:rFonts w:ascii="Arial" w:hAnsi="Arial" w:cs="Arial"/>
          <w:b/>
          <w:bCs/>
        </w:rPr>
        <w:t xml:space="preserve">. Gestão de custos na saúde pública: </w:t>
      </w:r>
      <w:r w:rsidRPr="0011601E">
        <w:rPr>
          <w:rFonts w:ascii="Arial" w:hAnsi="Arial" w:cs="Arial"/>
          <w:bCs/>
        </w:rPr>
        <w:t>análise dos custos dos serviços de fisioterapia prestados pelo CEFIR do município de Balneário Camboriú – SC</w:t>
      </w:r>
      <w:r w:rsidRPr="0011601E">
        <w:rPr>
          <w:rFonts w:ascii="Arial" w:hAnsi="Arial" w:cs="Arial"/>
        </w:rPr>
        <w:t xml:space="preserve">. Disponível em: </w:t>
      </w:r>
      <w:hyperlink r:id="rId10" w:history="1">
        <w:r w:rsidRPr="0011601E">
          <w:rPr>
            <w:rStyle w:val="Hyperlink"/>
            <w:rFonts w:ascii="Arial" w:hAnsi="Arial" w:cs="Arial"/>
            <w:color w:val="auto"/>
            <w:u w:val="none"/>
          </w:rPr>
          <w:t>http://siaibib01.univali.br/pdf/Magnus%20Bliesner.pdf</w:t>
        </w:r>
      </w:hyperlink>
      <w:r w:rsidRPr="0011601E">
        <w:rPr>
          <w:rFonts w:ascii="Arial" w:hAnsi="Arial" w:cs="Arial"/>
        </w:rPr>
        <w:t>. Acesso em 21 abr. 2012.</w:t>
      </w:r>
    </w:p>
    <w:p w:rsidR="00E25AC7" w:rsidRPr="0011601E" w:rsidRDefault="00E25AC7" w:rsidP="001456A5">
      <w:pPr>
        <w:pStyle w:val="SemEspaamento"/>
        <w:rPr>
          <w:rFonts w:ascii="Arial" w:hAnsi="Arial" w:cs="Arial"/>
          <w:sz w:val="24"/>
          <w:szCs w:val="24"/>
          <w:lang w:eastAsia="pt-BR"/>
        </w:rPr>
      </w:pPr>
      <w:r w:rsidRPr="0011601E">
        <w:rPr>
          <w:rFonts w:ascii="Arial" w:hAnsi="Arial" w:cs="Arial"/>
          <w:sz w:val="24"/>
          <w:szCs w:val="24"/>
          <w:lang w:eastAsia="pt-BR"/>
        </w:rPr>
        <w:t xml:space="preserve"> </w:t>
      </w:r>
    </w:p>
    <w:p w:rsidR="00E25AC7" w:rsidRPr="0070121B" w:rsidRDefault="00E25AC7" w:rsidP="001456A5">
      <w:pPr>
        <w:pStyle w:val="SemEspaamento"/>
        <w:rPr>
          <w:rFonts w:ascii="Arial" w:hAnsi="Arial" w:cs="Arial"/>
          <w:sz w:val="24"/>
          <w:szCs w:val="24"/>
          <w:lang w:eastAsia="pt-BR"/>
        </w:rPr>
      </w:pPr>
      <w:r w:rsidRPr="0070121B">
        <w:rPr>
          <w:rFonts w:ascii="Arial" w:hAnsi="Arial" w:cs="Arial"/>
          <w:sz w:val="24"/>
          <w:szCs w:val="24"/>
          <w:lang w:eastAsia="pt-BR"/>
        </w:rPr>
        <w:t xml:space="preserve">BULOS, </w:t>
      </w:r>
      <w:proofErr w:type="spellStart"/>
      <w:r w:rsidRPr="0070121B">
        <w:rPr>
          <w:rFonts w:ascii="Arial" w:hAnsi="Arial" w:cs="Arial"/>
          <w:sz w:val="24"/>
          <w:szCs w:val="24"/>
          <w:lang w:eastAsia="pt-BR"/>
        </w:rPr>
        <w:t>Uadi</w:t>
      </w:r>
      <w:proofErr w:type="spellEnd"/>
      <w:r w:rsidRPr="0070121B">
        <w:rPr>
          <w:rFonts w:ascii="Arial" w:hAnsi="Arial" w:cs="Arial"/>
          <w:sz w:val="24"/>
          <w:szCs w:val="24"/>
          <w:lang w:eastAsia="pt-BR"/>
        </w:rPr>
        <w:t xml:space="preserve"> </w:t>
      </w:r>
      <w:proofErr w:type="spellStart"/>
      <w:r w:rsidRPr="0070121B">
        <w:rPr>
          <w:rFonts w:ascii="Arial" w:hAnsi="Arial" w:cs="Arial"/>
          <w:sz w:val="24"/>
          <w:szCs w:val="24"/>
          <w:lang w:eastAsia="pt-BR"/>
        </w:rPr>
        <w:t>Lammêgo</w:t>
      </w:r>
      <w:proofErr w:type="spellEnd"/>
      <w:r w:rsidRPr="0070121B">
        <w:rPr>
          <w:rFonts w:ascii="Arial" w:hAnsi="Arial" w:cs="Arial"/>
          <w:sz w:val="24"/>
          <w:szCs w:val="24"/>
          <w:lang w:eastAsia="pt-BR"/>
        </w:rPr>
        <w:t xml:space="preserve">. </w:t>
      </w:r>
      <w:r w:rsidRPr="0070121B">
        <w:rPr>
          <w:rFonts w:ascii="Arial" w:hAnsi="Arial" w:cs="Arial"/>
          <w:b/>
          <w:bCs/>
          <w:sz w:val="24"/>
          <w:szCs w:val="24"/>
          <w:lang w:eastAsia="pt-BR"/>
        </w:rPr>
        <w:t>Constituição Federal anotada.</w:t>
      </w:r>
      <w:r w:rsidRPr="0070121B">
        <w:rPr>
          <w:rFonts w:ascii="Arial" w:hAnsi="Arial" w:cs="Arial"/>
          <w:sz w:val="24"/>
          <w:szCs w:val="24"/>
          <w:lang w:eastAsia="pt-BR"/>
        </w:rPr>
        <w:t xml:space="preserve"> 2. ed. São Paulo: Saraiva, 2001.</w:t>
      </w:r>
      <w:r w:rsidRPr="0070121B">
        <w:rPr>
          <w:rFonts w:ascii="Arial" w:hAnsi="Arial" w:cs="Arial"/>
          <w:sz w:val="24"/>
          <w:szCs w:val="24"/>
          <w:lang w:eastAsia="pt-BR"/>
        </w:rPr>
        <w:br/>
      </w:r>
      <w:r w:rsidRPr="0070121B">
        <w:rPr>
          <w:rFonts w:ascii="Arial" w:hAnsi="Arial" w:cs="Arial"/>
          <w:sz w:val="24"/>
          <w:szCs w:val="24"/>
          <w:lang w:eastAsia="pt-BR"/>
        </w:rPr>
        <w:br/>
        <w:t>CRUZ, Flávio da (organizador) et al</w:t>
      </w:r>
      <w:r w:rsidRPr="0070121B">
        <w:rPr>
          <w:rFonts w:ascii="Arial" w:hAnsi="Arial" w:cs="Arial"/>
          <w:b/>
          <w:bCs/>
          <w:sz w:val="24"/>
          <w:szCs w:val="24"/>
          <w:lang w:eastAsia="pt-BR"/>
        </w:rPr>
        <w:t xml:space="preserve">. Comentários à Lei nº 4.320. </w:t>
      </w:r>
      <w:r w:rsidRPr="0070121B">
        <w:rPr>
          <w:rFonts w:ascii="Arial" w:hAnsi="Arial" w:cs="Arial"/>
          <w:sz w:val="24"/>
          <w:szCs w:val="24"/>
          <w:lang w:eastAsia="pt-BR"/>
        </w:rPr>
        <w:t>5 ed</w:t>
      </w:r>
      <w:r w:rsidRPr="0070121B">
        <w:rPr>
          <w:rFonts w:ascii="Arial" w:hAnsi="Arial" w:cs="Arial"/>
          <w:b/>
          <w:bCs/>
          <w:sz w:val="24"/>
          <w:szCs w:val="24"/>
          <w:lang w:eastAsia="pt-BR"/>
        </w:rPr>
        <w:t xml:space="preserve">. </w:t>
      </w:r>
      <w:r w:rsidRPr="0070121B">
        <w:rPr>
          <w:rFonts w:ascii="Arial" w:hAnsi="Arial" w:cs="Arial"/>
          <w:sz w:val="24"/>
          <w:szCs w:val="24"/>
          <w:lang w:eastAsia="pt-BR"/>
        </w:rPr>
        <w:t xml:space="preserve">São </w:t>
      </w:r>
      <w:proofErr w:type="spellStart"/>
      <w:r w:rsidRPr="0070121B">
        <w:rPr>
          <w:rFonts w:ascii="Arial" w:hAnsi="Arial" w:cs="Arial"/>
          <w:sz w:val="24"/>
          <w:szCs w:val="24"/>
          <w:lang w:eastAsia="pt-BR"/>
        </w:rPr>
        <w:t>Paulo:Atlas</w:t>
      </w:r>
      <w:proofErr w:type="spellEnd"/>
      <w:r w:rsidRPr="0070121B">
        <w:rPr>
          <w:rFonts w:ascii="Arial" w:hAnsi="Arial" w:cs="Arial"/>
          <w:sz w:val="24"/>
          <w:szCs w:val="24"/>
          <w:lang w:eastAsia="pt-BR"/>
        </w:rPr>
        <w:t>, 2001.</w:t>
      </w:r>
      <w:r w:rsidRPr="0070121B">
        <w:rPr>
          <w:rFonts w:ascii="Arial" w:hAnsi="Arial" w:cs="Arial"/>
          <w:sz w:val="24"/>
          <w:szCs w:val="24"/>
          <w:lang w:eastAsia="pt-BR"/>
        </w:rPr>
        <w:br/>
      </w:r>
    </w:p>
    <w:p w:rsidR="00E25AC7" w:rsidRPr="0070121B" w:rsidRDefault="00E25AC7" w:rsidP="0070121B">
      <w:pPr>
        <w:pStyle w:val="SemEspaamento"/>
        <w:rPr>
          <w:rFonts w:ascii="Arial" w:hAnsi="Arial" w:cs="Arial"/>
          <w:sz w:val="24"/>
          <w:szCs w:val="24"/>
          <w:lang w:eastAsia="pt-BR"/>
        </w:rPr>
      </w:pPr>
      <w:r w:rsidRPr="0070121B">
        <w:rPr>
          <w:rFonts w:ascii="Arial" w:hAnsi="Arial" w:cs="Arial"/>
          <w:sz w:val="24"/>
          <w:szCs w:val="24"/>
          <w:lang w:eastAsia="pt-BR"/>
        </w:rPr>
        <w:t xml:space="preserve">GIL, </w:t>
      </w:r>
      <w:proofErr w:type="spellStart"/>
      <w:r w:rsidRPr="0070121B">
        <w:rPr>
          <w:rFonts w:ascii="Arial" w:hAnsi="Arial" w:cs="Arial"/>
          <w:sz w:val="24"/>
          <w:szCs w:val="24"/>
          <w:lang w:eastAsia="pt-BR"/>
        </w:rPr>
        <w:t>Antonio</w:t>
      </w:r>
      <w:proofErr w:type="spellEnd"/>
      <w:r w:rsidRPr="0070121B">
        <w:rPr>
          <w:rFonts w:ascii="Arial" w:hAnsi="Arial" w:cs="Arial"/>
          <w:sz w:val="24"/>
          <w:szCs w:val="24"/>
          <w:lang w:eastAsia="pt-BR"/>
        </w:rPr>
        <w:t xml:space="preserve"> C. Como elaborar projetos de pesquisa. 4. ed. São Paulo: Atlas, 2002.</w:t>
      </w:r>
    </w:p>
    <w:p w:rsidR="00E25AC7" w:rsidRPr="00B01DB6" w:rsidRDefault="00E25AC7" w:rsidP="0070121B">
      <w:pPr>
        <w:pStyle w:val="SemEspaamento"/>
        <w:rPr>
          <w:rFonts w:ascii="Arial" w:hAnsi="Arial" w:cs="Arial"/>
          <w:bCs/>
          <w:sz w:val="24"/>
          <w:szCs w:val="24"/>
        </w:rPr>
      </w:pPr>
      <w:r w:rsidRPr="0070121B">
        <w:rPr>
          <w:rFonts w:ascii="Arial" w:hAnsi="Arial" w:cs="Arial"/>
          <w:sz w:val="24"/>
          <w:szCs w:val="24"/>
          <w:lang w:eastAsia="pt-BR"/>
        </w:rPr>
        <w:br/>
        <w:t xml:space="preserve">HOCHMAN, Gilberto. Reformas, instituições e políticas de saúde no Brasil (1930-1945). </w:t>
      </w:r>
      <w:r w:rsidRPr="0070121B">
        <w:rPr>
          <w:rFonts w:ascii="Arial" w:hAnsi="Arial" w:cs="Arial"/>
          <w:b/>
          <w:bCs/>
          <w:sz w:val="24"/>
          <w:szCs w:val="24"/>
          <w:lang w:eastAsia="pt-BR"/>
        </w:rPr>
        <w:t xml:space="preserve">Educar, </w:t>
      </w:r>
      <w:r w:rsidRPr="0070121B">
        <w:rPr>
          <w:rFonts w:ascii="Arial" w:hAnsi="Arial" w:cs="Arial"/>
          <w:sz w:val="24"/>
          <w:szCs w:val="24"/>
          <w:lang w:eastAsia="pt-BR"/>
        </w:rPr>
        <w:t>Curitiba, n. 25, p. 127 - 141, 2005</w:t>
      </w:r>
      <w:r>
        <w:rPr>
          <w:rFonts w:ascii="Arial" w:hAnsi="Arial" w:cs="Arial"/>
          <w:sz w:val="24"/>
          <w:szCs w:val="24"/>
          <w:lang w:eastAsia="pt-BR"/>
        </w:rPr>
        <w:t xml:space="preserve">. Editora UFPR. Disponível em: </w:t>
      </w:r>
      <w:r w:rsidRPr="0070121B">
        <w:rPr>
          <w:rFonts w:ascii="Arial" w:hAnsi="Arial" w:cs="Arial"/>
          <w:sz w:val="24"/>
          <w:szCs w:val="24"/>
          <w:lang w:eastAsia="pt-BR"/>
        </w:rPr>
        <w:t>http://</w:t>
      </w:r>
      <w:r w:rsidRPr="0070121B">
        <w:rPr>
          <w:rFonts w:ascii="Arial" w:hAnsi="Arial" w:cs="Arial"/>
          <w:sz w:val="24"/>
          <w:szCs w:val="24"/>
          <w:shd w:val="clear" w:color="auto" w:fill="FFFFFF"/>
          <w:lang w:eastAsia="pt-BR"/>
        </w:rPr>
        <w:t>ojs.c3sl.ufpr.br/ojs2/index.php/educar/article/download/2242/1874</w:t>
      </w:r>
      <w:r>
        <w:rPr>
          <w:rFonts w:ascii="Arial" w:hAnsi="Arial" w:cs="Arial"/>
          <w:sz w:val="24"/>
          <w:szCs w:val="24"/>
          <w:lang w:eastAsia="pt-BR"/>
        </w:rPr>
        <w:t>. Acesso em</w:t>
      </w:r>
      <w:r w:rsidRPr="0070121B">
        <w:rPr>
          <w:rFonts w:ascii="Arial" w:hAnsi="Arial" w:cs="Arial"/>
          <w:sz w:val="24"/>
          <w:szCs w:val="24"/>
          <w:lang w:eastAsia="pt-BR"/>
        </w:rPr>
        <w:t xml:space="preserve"> 14 abr. 2012.</w:t>
      </w:r>
      <w:r w:rsidRPr="0070121B">
        <w:rPr>
          <w:rFonts w:ascii="Arial" w:hAnsi="Arial" w:cs="Arial"/>
          <w:sz w:val="24"/>
          <w:szCs w:val="24"/>
          <w:lang w:eastAsia="pt-BR"/>
        </w:rPr>
        <w:br/>
      </w:r>
      <w:r w:rsidRPr="0070121B">
        <w:rPr>
          <w:rFonts w:ascii="Arial" w:hAnsi="Arial" w:cs="Arial"/>
          <w:sz w:val="24"/>
          <w:szCs w:val="24"/>
          <w:lang w:eastAsia="pt-BR"/>
        </w:rPr>
        <w:br/>
      </w:r>
      <w:r w:rsidRPr="00B01DB6">
        <w:rPr>
          <w:rFonts w:ascii="Arial" w:hAnsi="Arial" w:cs="Arial"/>
          <w:bCs/>
          <w:sz w:val="24"/>
          <w:szCs w:val="24"/>
        </w:rPr>
        <w:t>IBGE. In</w:t>
      </w:r>
      <w:r>
        <w:rPr>
          <w:rFonts w:ascii="Arial" w:hAnsi="Arial" w:cs="Arial"/>
          <w:bCs/>
          <w:sz w:val="24"/>
          <w:szCs w:val="24"/>
        </w:rPr>
        <w:t>s</w:t>
      </w:r>
      <w:r w:rsidRPr="00B01DB6">
        <w:rPr>
          <w:rFonts w:ascii="Arial" w:hAnsi="Arial" w:cs="Arial"/>
          <w:bCs/>
          <w:sz w:val="24"/>
          <w:szCs w:val="24"/>
        </w:rPr>
        <w:t xml:space="preserve">tituto Brasileiro de Geografia e Estatística. </w:t>
      </w:r>
      <w:r>
        <w:rPr>
          <w:rFonts w:ascii="Arial" w:hAnsi="Arial" w:cs="Arial"/>
          <w:bCs/>
          <w:sz w:val="24"/>
          <w:szCs w:val="24"/>
        </w:rPr>
        <w:t xml:space="preserve">Sinopse do Censo 2010. </w:t>
      </w:r>
      <w:r>
        <w:rPr>
          <w:rFonts w:ascii="Arial" w:hAnsi="Arial" w:cs="Arial"/>
          <w:sz w:val="24"/>
          <w:szCs w:val="24"/>
          <w:lang w:eastAsia="pt-BR"/>
        </w:rPr>
        <w:lastRenderedPageBreak/>
        <w:t>Disponível em</w:t>
      </w:r>
      <w:r w:rsidRPr="0011601E">
        <w:rPr>
          <w:rFonts w:ascii="Arial" w:hAnsi="Arial" w:cs="Arial"/>
          <w:sz w:val="24"/>
          <w:szCs w:val="24"/>
          <w:lang w:eastAsia="pt-BR"/>
        </w:rPr>
        <w:t xml:space="preserve">: </w:t>
      </w:r>
      <w:hyperlink r:id="rId11" w:history="1">
        <w:r w:rsidRPr="0011601E">
          <w:rPr>
            <w:rStyle w:val="Hyperlink"/>
            <w:rFonts w:ascii="Arial" w:hAnsi="Arial" w:cs="Arial"/>
            <w:color w:val="auto"/>
            <w:sz w:val="24"/>
            <w:szCs w:val="24"/>
            <w:u w:val="none"/>
            <w:lang w:eastAsia="pt-BR"/>
          </w:rPr>
          <w:t>http://</w:t>
        </w:r>
        <w:r w:rsidRPr="0011601E">
          <w:rPr>
            <w:rStyle w:val="Hyperlink"/>
            <w:rFonts w:ascii="Arial" w:hAnsi="Arial" w:cs="Arial"/>
            <w:color w:val="auto"/>
            <w:sz w:val="24"/>
            <w:szCs w:val="24"/>
            <w:u w:val="none"/>
            <w:shd w:val="clear" w:color="auto" w:fill="FFFFFF"/>
            <w:lang w:eastAsia="pt-BR"/>
          </w:rPr>
          <w:t>www.ibge.gov.br</w:t>
        </w:r>
      </w:hyperlink>
      <w:r>
        <w:rPr>
          <w:rFonts w:ascii="Arial" w:hAnsi="Arial" w:cs="Arial"/>
          <w:sz w:val="24"/>
          <w:szCs w:val="24"/>
          <w:shd w:val="clear" w:color="auto" w:fill="FFFFFF"/>
          <w:lang w:eastAsia="pt-BR"/>
        </w:rPr>
        <w:t xml:space="preserve">. </w:t>
      </w:r>
      <w:r w:rsidRPr="0070121B">
        <w:rPr>
          <w:rFonts w:ascii="Arial" w:hAnsi="Arial" w:cs="Arial"/>
          <w:sz w:val="24"/>
          <w:szCs w:val="24"/>
          <w:lang w:eastAsia="pt-BR"/>
        </w:rPr>
        <w:t>Acesso em 1</w:t>
      </w:r>
      <w:r>
        <w:rPr>
          <w:rFonts w:ascii="Arial" w:hAnsi="Arial" w:cs="Arial"/>
          <w:sz w:val="24"/>
          <w:szCs w:val="24"/>
          <w:lang w:eastAsia="pt-BR"/>
        </w:rPr>
        <w:t>6</w:t>
      </w:r>
      <w:r w:rsidRPr="0070121B">
        <w:rPr>
          <w:rFonts w:ascii="Arial" w:hAnsi="Arial" w:cs="Arial"/>
          <w:sz w:val="24"/>
          <w:szCs w:val="24"/>
          <w:lang w:eastAsia="pt-BR"/>
        </w:rPr>
        <w:t xml:space="preserve"> abr. 2012.</w:t>
      </w:r>
      <w:r w:rsidRPr="0070121B">
        <w:rPr>
          <w:rFonts w:ascii="Arial" w:hAnsi="Arial" w:cs="Arial"/>
          <w:sz w:val="24"/>
          <w:szCs w:val="24"/>
          <w:lang w:eastAsia="pt-BR"/>
        </w:rPr>
        <w:br/>
      </w:r>
      <w:r>
        <w:rPr>
          <w:rFonts w:ascii="Arial" w:hAnsi="Arial" w:cs="Arial"/>
          <w:bCs/>
          <w:sz w:val="24"/>
          <w:szCs w:val="24"/>
        </w:rPr>
        <w:t xml:space="preserve"> </w:t>
      </w:r>
    </w:p>
    <w:p w:rsidR="00E25AC7" w:rsidRPr="0070121B" w:rsidRDefault="00E25AC7" w:rsidP="0070121B">
      <w:pPr>
        <w:pStyle w:val="SemEspaamento"/>
        <w:rPr>
          <w:rFonts w:ascii="Arial" w:hAnsi="Arial" w:cs="Arial"/>
          <w:sz w:val="24"/>
          <w:szCs w:val="24"/>
          <w:lang w:eastAsia="pt-BR"/>
        </w:rPr>
      </w:pPr>
      <w:r w:rsidRPr="0070121B">
        <w:rPr>
          <w:rFonts w:ascii="Arial" w:hAnsi="Arial" w:cs="Arial"/>
          <w:sz w:val="24"/>
          <w:szCs w:val="24"/>
          <w:lang w:eastAsia="pt-BR"/>
        </w:rPr>
        <w:t xml:space="preserve">JANNUZZI, Paulo de Martino. </w:t>
      </w:r>
      <w:r w:rsidRPr="0070121B">
        <w:rPr>
          <w:rFonts w:ascii="Arial" w:hAnsi="Arial" w:cs="Arial"/>
          <w:b/>
          <w:bCs/>
          <w:sz w:val="24"/>
          <w:szCs w:val="24"/>
          <w:lang w:eastAsia="pt-BR"/>
        </w:rPr>
        <w:t xml:space="preserve">Indicadores socioeconômicos na gestão pública. </w:t>
      </w:r>
      <w:r w:rsidRPr="0070121B">
        <w:rPr>
          <w:rFonts w:ascii="Arial" w:hAnsi="Arial" w:cs="Arial"/>
          <w:sz w:val="24"/>
          <w:szCs w:val="24"/>
          <w:lang w:eastAsia="pt-BR"/>
        </w:rPr>
        <w:t>Florianópolis: Departamento de Ciências da Administração / UFSC; [Brasília] : CAPES: UAB, 2009.</w:t>
      </w:r>
    </w:p>
    <w:p w:rsidR="00E25AC7" w:rsidRDefault="00E25AC7" w:rsidP="0070121B">
      <w:pPr>
        <w:pStyle w:val="SemEspaamento"/>
        <w:rPr>
          <w:rFonts w:ascii="Arial" w:hAnsi="Arial" w:cs="Arial"/>
          <w:sz w:val="24"/>
          <w:szCs w:val="24"/>
          <w:lang w:eastAsia="pt-BR"/>
        </w:rPr>
      </w:pPr>
    </w:p>
    <w:p w:rsidR="00E25AC7" w:rsidRPr="0070121B" w:rsidRDefault="00E25AC7" w:rsidP="0070121B">
      <w:pPr>
        <w:pStyle w:val="SemEspaamento"/>
        <w:rPr>
          <w:rFonts w:ascii="Arial" w:hAnsi="Arial" w:cs="Arial"/>
          <w:sz w:val="24"/>
          <w:szCs w:val="24"/>
          <w:lang w:eastAsia="pt-BR"/>
        </w:rPr>
      </w:pPr>
      <w:r w:rsidRPr="0070121B">
        <w:rPr>
          <w:rFonts w:ascii="Arial" w:hAnsi="Arial" w:cs="Arial"/>
          <w:sz w:val="24"/>
          <w:szCs w:val="24"/>
          <w:lang w:eastAsia="pt-BR"/>
        </w:rPr>
        <w:t xml:space="preserve">LAKATOS, Eva Maria; MARCONI, Marina de Andrade. </w:t>
      </w:r>
      <w:r w:rsidRPr="0070121B">
        <w:rPr>
          <w:rFonts w:ascii="Arial" w:hAnsi="Arial" w:cs="Arial"/>
          <w:b/>
          <w:bCs/>
          <w:sz w:val="24"/>
          <w:szCs w:val="24"/>
          <w:lang w:eastAsia="pt-BR"/>
        </w:rPr>
        <w:t>Fundamentos da metodologia científica.</w:t>
      </w:r>
      <w:r w:rsidRPr="0070121B">
        <w:rPr>
          <w:rFonts w:ascii="Arial" w:hAnsi="Arial" w:cs="Arial"/>
          <w:sz w:val="24"/>
          <w:szCs w:val="24"/>
          <w:lang w:eastAsia="pt-BR"/>
        </w:rPr>
        <w:t xml:space="preserve"> 2.ed. São Paulo: Atlas, 1990.</w:t>
      </w:r>
    </w:p>
    <w:p w:rsidR="00E25AC7" w:rsidRPr="00D8681B" w:rsidRDefault="00E25AC7" w:rsidP="00BA046C">
      <w:pPr>
        <w:pStyle w:val="SemEspaamento"/>
        <w:rPr>
          <w:rFonts w:ascii="Arial" w:hAnsi="Arial" w:cs="Arial"/>
          <w:sz w:val="24"/>
          <w:szCs w:val="24"/>
        </w:rPr>
      </w:pPr>
      <w:r w:rsidRPr="0070121B">
        <w:rPr>
          <w:rFonts w:ascii="Arial" w:hAnsi="Arial" w:cs="Arial"/>
          <w:sz w:val="24"/>
          <w:szCs w:val="24"/>
          <w:lang w:eastAsia="pt-BR"/>
        </w:rPr>
        <w:br/>
      </w:r>
      <w:r w:rsidRPr="00D8681B">
        <w:rPr>
          <w:rFonts w:ascii="Arial" w:hAnsi="Arial" w:cs="Arial"/>
          <w:sz w:val="24"/>
          <w:szCs w:val="24"/>
        </w:rPr>
        <w:t xml:space="preserve">RDH. </w:t>
      </w:r>
      <w:r w:rsidRPr="00D8681B">
        <w:rPr>
          <w:rFonts w:ascii="Arial" w:hAnsi="Arial" w:cs="Arial"/>
          <w:b/>
          <w:bCs/>
          <w:sz w:val="24"/>
          <w:szCs w:val="24"/>
        </w:rPr>
        <w:t>Relatório de desenvolvimento humano</w:t>
      </w:r>
      <w:r w:rsidRPr="00D8681B">
        <w:rPr>
          <w:rFonts w:ascii="Arial" w:hAnsi="Arial" w:cs="Arial"/>
          <w:sz w:val="24"/>
          <w:szCs w:val="24"/>
        </w:rPr>
        <w:t>. Reafirmação do desenvolvimento humano. Disponível em:</w:t>
      </w:r>
      <w:hyperlink r:id="rId12" w:history="1">
        <w:r w:rsidRPr="0011601E">
          <w:rPr>
            <w:rStyle w:val="Hyperlink"/>
            <w:rFonts w:ascii="Arial" w:hAnsi="Arial" w:cs="Arial"/>
            <w:color w:val="auto"/>
            <w:sz w:val="24"/>
            <w:szCs w:val="24"/>
            <w:u w:val="none"/>
          </w:rPr>
          <w:t xml:space="preserve"> http://hdr.undp.org/en/media/HDR_2010_PT_Chapter1_reprint.pdf</w:t>
        </w:r>
      </w:hyperlink>
      <w:r w:rsidRPr="0011601E">
        <w:rPr>
          <w:rFonts w:ascii="Arial" w:hAnsi="Arial" w:cs="Arial"/>
          <w:sz w:val="24"/>
          <w:szCs w:val="24"/>
        </w:rPr>
        <w:t>.</w:t>
      </w:r>
      <w:r>
        <w:rPr>
          <w:rFonts w:ascii="Arial" w:hAnsi="Arial" w:cs="Arial"/>
          <w:sz w:val="24"/>
          <w:szCs w:val="24"/>
        </w:rPr>
        <w:t xml:space="preserve"> Acesso em</w:t>
      </w:r>
      <w:r w:rsidRPr="00D8681B">
        <w:rPr>
          <w:rFonts w:ascii="Arial" w:hAnsi="Arial" w:cs="Arial"/>
          <w:sz w:val="24"/>
          <w:szCs w:val="24"/>
        </w:rPr>
        <w:t xml:space="preserve"> 21 abr. 2012</w:t>
      </w:r>
      <w:r>
        <w:rPr>
          <w:rFonts w:ascii="Arial" w:hAnsi="Arial" w:cs="Arial"/>
          <w:sz w:val="24"/>
          <w:szCs w:val="24"/>
        </w:rPr>
        <w:t>.</w:t>
      </w:r>
    </w:p>
    <w:p w:rsidR="00E25AC7" w:rsidRPr="0070121B" w:rsidRDefault="00E25AC7" w:rsidP="0070121B">
      <w:pPr>
        <w:pStyle w:val="SemEspaamento"/>
        <w:rPr>
          <w:rFonts w:ascii="Arial" w:hAnsi="Arial" w:cs="Arial"/>
          <w:sz w:val="24"/>
          <w:szCs w:val="24"/>
          <w:lang w:eastAsia="pt-BR"/>
        </w:rPr>
      </w:pPr>
    </w:p>
    <w:p w:rsidR="00E25AC7" w:rsidRPr="0070121B" w:rsidRDefault="00E25AC7" w:rsidP="0070121B">
      <w:pPr>
        <w:pStyle w:val="SemEspaamento"/>
        <w:rPr>
          <w:rFonts w:ascii="Arial" w:hAnsi="Arial" w:cs="Arial"/>
          <w:sz w:val="24"/>
          <w:szCs w:val="24"/>
          <w:lang w:eastAsia="pt-BR"/>
        </w:rPr>
      </w:pPr>
      <w:r w:rsidRPr="0070121B">
        <w:rPr>
          <w:rFonts w:ascii="Arial" w:hAnsi="Arial" w:cs="Arial"/>
          <w:sz w:val="24"/>
          <w:szCs w:val="24"/>
          <w:lang w:eastAsia="pt-BR"/>
        </w:rPr>
        <w:t xml:space="preserve">RIANI, Flávio. </w:t>
      </w:r>
      <w:r w:rsidRPr="0070121B">
        <w:rPr>
          <w:rFonts w:ascii="Arial" w:hAnsi="Arial" w:cs="Arial"/>
          <w:b/>
          <w:bCs/>
          <w:sz w:val="24"/>
          <w:szCs w:val="24"/>
          <w:lang w:eastAsia="pt-BR"/>
        </w:rPr>
        <w:t>Economia do setor público</w:t>
      </w:r>
      <w:r w:rsidRPr="0070121B">
        <w:rPr>
          <w:rFonts w:ascii="Arial" w:hAnsi="Arial" w:cs="Arial"/>
          <w:sz w:val="24"/>
          <w:szCs w:val="24"/>
          <w:lang w:eastAsia="pt-BR"/>
        </w:rPr>
        <w:t>: uma abordagem introdutória. São Paulo: Atlas, 2002.</w:t>
      </w:r>
    </w:p>
    <w:p w:rsidR="00E25AC7" w:rsidRPr="0070121B" w:rsidRDefault="00E25AC7" w:rsidP="0070121B">
      <w:pPr>
        <w:pStyle w:val="SemEspaamento"/>
        <w:rPr>
          <w:rFonts w:ascii="Arial" w:hAnsi="Arial" w:cs="Arial"/>
          <w:sz w:val="24"/>
          <w:szCs w:val="24"/>
          <w:lang w:eastAsia="pt-BR"/>
        </w:rPr>
      </w:pPr>
    </w:p>
    <w:p w:rsidR="00E25AC7" w:rsidRPr="0070121B" w:rsidRDefault="00E25AC7" w:rsidP="0070121B">
      <w:pPr>
        <w:pStyle w:val="SemEspaamento"/>
        <w:rPr>
          <w:rFonts w:ascii="Arial" w:hAnsi="Arial" w:cs="Arial"/>
          <w:sz w:val="24"/>
          <w:szCs w:val="24"/>
          <w:lang w:eastAsia="pt-BR"/>
        </w:rPr>
      </w:pPr>
      <w:r w:rsidRPr="0070121B">
        <w:rPr>
          <w:rFonts w:ascii="Arial" w:hAnsi="Arial" w:cs="Arial"/>
          <w:sz w:val="24"/>
          <w:szCs w:val="24"/>
          <w:lang w:eastAsia="pt-BR"/>
        </w:rPr>
        <w:t xml:space="preserve">RICHARDSON, Roberto. </w:t>
      </w:r>
      <w:r w:rsidRPr="0070121B">
        <w:rPr>
          <w:rFonts w:ascii="Arial" w:hAnsi="Arial" w:cs="Arial"/>
          <w:b/>
          <w:bCs/>
          <w:sz w:val="24"/>
          <w:szCs w:val="24"/>
          <w:lang w:eastAsia="pt-BR"/>
        </w:rPr>
        <w:t>Pesquisa social</w:t>
      </w:r>
      <w:r w:rsidRPr="0070121B">
        <w:rPr>
          <w:rFonts w:ascii="Arial" w:hAnsi="Arial" w:cs="Arial"/>
          <w:sz w:val="24"/>
          <w:szCs w:val="24"/>
          <w:lang w:eastAsia="pt-BR"/>
        </w:rPr>
        <w:t>:</w:t>
      </w:r>
      <w:r w:rsidRPr="0070121B">
        <w:rPr>
          <w:rFonts w:ascii="Arial" w:hAnsi="Arial" w:cs="Arial"/>
          <w:b/>
          <w:bCs/>
          <w:sz w:val="24"/>
          <w:szCs w:val="24"/>
          <w:lang w:eastAsia="pt-BR"/>
        </w:rPr>
        <w:t xml:space="preserve"> </w:t>
      </w:r>
      <w:r w:rsidRPr="0070121B">
        <w:rPr>
          <w:rFonts w:ascii="Arial" w:hAnsi="Arial" w:cs="Arial"/>
          <w:sz w:val="24"/>
          <w:szCs w:val="24"/>
          <w:lang w:eastAsia="pt-BR"/>
        </w:rPr>
        <w:t>métodos e técnicas. 3.ed. São Paulo: Atlas, 1999.</w:t>
      </w:r>
      <w:r w:rsidRPr="0070121B">
        <w:rPr>
          <w:rFonts w:ascii="Arial" w:hAnsi="Arial" w:cs="Arial"/>
          <w:sz w:val="24"/>
          <w:szCs w:val="24"/>
          <w:lang w:eastAsia="pt-BR"/>
        </w:rPr>
        <w:br/>
      </w:r>
    </w:p>
    <w:p w:rsidR="00E25AC7" w:rsidRPr="00007BFD" w:rsidRDefault="00E25AC7" w:rsidP="00007BFD">
      <w:pPr>
        <w:rPr>
          <w:rFonts w:ascii="Arial" w:hAnsi="Arial" w:cs="Arial"/>
          <w:sz w:val="24"/>
          <w:szCs w:val="24"/>
        </w:rPr>
      </w:pPr>
      <w:r w:rsidRPr="00007BFD">
        <w:rPr>
          <w:rFonts w:ascii="Arial" w:hAnsi="Arial" w:cs="Arial"/>
          <w:sz w:val="24"/>
          <w:szCs w:val="24"/>
        </w:rPr>
        <w:t xml:space="preserve">SANTA CATARINA. </w:t>
      </w:r>
      <w:r w:rsidRPr="00007BFD">
        <w:rPr>
          <w:rStyle w:val="Forte"/>
          <w:rFonts w:ascii="Arial" w:hAnsi="Arial" w:cs="Arial"/>
          <w:bCs/>
          <w:sz w:val="24"/>
          <w:szCs w:val="24"/>
        </w:rPr>
        <w:t>Lei Complementar Nº 243, de 30 de janeiro de 2003.</w:t>
      </w:r>
      <w:r w:rsidRPr="00007BFD">
        <w:rPr>
          <w:rFonts w:ascii="Arial" w:hAnsi="Arial" w:cs="Arial"/>
          <w:sz w:val="24"/>
          <w:szCs w:val="24"/>
        </w:rPr>
        <w:t xml:space="preserve"> Disponível em: </w:t>
      </w:r>
      <w:hyperlink r:id="rId13" w:history="1">
        <w:r w:rsidRPr="00007BFD">
          <w:rPr>
            <w:rStyle w:val="Hyperlink"/>
            <w:rFonts w:ascii="Arial" w:hAnsi="Arial" w:cs="Arial"/>
            <w:color w:val="auto"/>
            <w:sz w:val="24"/>
            <w:szCs w:val="24"/>
            <w:u w:val="none"/>
          </w:rPr>
          <w:t>http://www.sc.gov.br/sdr</w:t>
        </w:r>
      </w:hyperlink>
      <w:r w:rsidRPr="00007BFD">
        <w:rPr>
          <w:rFonts w:ascii="Arial" w:hAnsi="Arial" w:cs="Arial"/>
          <w:sz w:val="24"/>
          <w:szCs w:val="24"/>
        </w:rPr>
        <w:t xml:space="preserve">. Acesso em 25 </w:t>
      </w:r>
      <w:proofErr w:type="spellStart"/>
      <w:r w:rsidRPr="00007BFD">
        <w:rPr>
          <w:rFonts w:ascii="Arial" w:hAnsi="Arial" w:cs="Arial"/>
          <w:sz w:val="24"/>
          <w:szCs w:val="24"/>
        </w:rPr>
        <w:t>jul</w:t>
      </w:r>
      <w:proofErr w:type="spellEnd"/>
      <w:r w:rsidRPr="00007BFD">
        <w:rPr>
          <w:rFonts w:ascii="Arial" w:hAnsi="Arial" w:cs="Arial"/>
          <w:sz w:val="24"/>
          <w:szCs w:val="24"/>
        </w:rPr>
        <w:t xml:space="preserve"> 2011.</w:t>
      </w:r>
    </w:p>
    <w:p w:rsidR="00E25AC7" w:rsidRPr="00243596" w:rsidRDefault="00E25AC7" w:rsidP="0070121B">
      <w:pPr>
        <w:pStyle w:val="SemEspaamento"/>
        <w:rPr>
          <w:rFonts w:ascii="Arial" w:hAnsi="Arial" w:cs="Arial"/>
          <w:sz w:val="24"/>
          <w:szCs w:val="24"/>
        </w:rPr>
      </w:pPr>
      <w:r w:rsidRPr="00243596">
        <w:rPr>
          <w:rFonts w:ascii="Arial" w:hAnsi="Arial" w:cs="Arial"/>
          <w:sz w:val="24"/>
          <w:szCs w:val="24"/>
        </w:rPr>
        <w:t xml:space="preserve">SENNA, Ana Beatriz. </w:t>
      </w:r>
      <w:r w:rsidRPr="00243596">
        <w:rPr>
          <w:rFonts w:ascii="Arial" w:hAnsi="Arial" w:cs="Arial"/>
          <w:b/>
          <w:bCs/>
          <w:sz w:val="24"/>
          <w:szCs w:val="24"/>
        </w:rPr>
        <w:t xml:space="preserve">Sustentabilidade financeira no processo de municipalização da saúde: </w:t>
      </w:r>
      <w:r w:rsidRPr="00243596">
        <w:rPr>
          <w:rFonts w:ascii="Arial" w:hAnsi="Arial" w:cs="Arial"/>
          <w:sz w:val="24"/>
          <w:szCs w:val="24"/>
        </w:rPr>
        <w:t xml:space="preserve">um estudo de caso na Secretaria Municipal de Saúde de Florianópolis. 2011. 90f. Trabalho de Conclusão de Curso (Graduação) - Curso de Administração, Departamento de Ciências da Administração, Universidade Federal de Santa Catarina, Florianópolis, 2011. </w:t>
      </w:r>
    </w:p>
    <w:p w:rsidR="00E25AC7" w:rsidRDefault="00E25AC7" w:rsidP="0070121B">
      <w:pPr>
        <w:pStyle w:val="SemEspaamento"/>
        <w:rPr>
          <w:sz w:val="23"/>
          <w:szCs w:val="23"/>
        </w:rPr>
      </w:pPr>
    </w:p>
    <w:p w:rsidR="00E25AC7" w:rsidRPr="002111AF" w:rsidRDefault="00E25AC7" w:rsidP="002111AF">
      <w:pPr>
        <w:pStyle w:val="SemEspaamento"/>
        <w:rPr>
          <w:rStyle w:val="apple-converted-space"/>
          <w:rFonts w:ascii="Arial" w:hAnsi="Arial" w:cs="Arial"/>
          <w:b/>
          <w:bCs/>
          <w:color w:val="000000"/>
          <w:sz w:val="24"/>
          <w:szCs w:val="24"/>
          <w:shd w:val="clear" w:color="auto" w:fill="FFFFFF"/>
        </w:rPr>
      </w:pPr>
      <w:r>
        <w:rPr>
          <w:rFonts w:ascii="Arial" w:hAnsi="Arial" w:cs="Arial"/>
          <w:sz w:val="24"/>
          <w:szCs w:val="24"/>
        </w:rPr>
        <w:t>SP</w:t>
      </w:r>
      <w:r w:rsidRPr="002111AF">
        <w:rPr>
          <w:rFonts w:ascii="Arial" w:hAnsi="Arial" w:cs="Arial"/>
          <w:sz w:val="24"/>
          <w:szCs w:val="24"/>
        </w:rPr>
        <w:t>G</w:t>
      </w:r>
      <w:r>
        <w:rPr>
          <w:rFonts w:ascii="Arial" w:hAnsi="Arial" w:cs="Arial"/>
          <w:sz w:val="24"/>
          <w:szCs w:val="24"/>
        </w:rPr>
        <w:t>/SC</w:t>
      </w:r>
      <w:r w:rsidRPr="002111AF">
        <w:rPr>
          <w:rFonts w:ascii="Arial" w:hAnsi="Arial" w:cs="Arial"/>
          <w:sz w:val="24"/>
          <w:szCs w:val="24"/>
        </w:rPr>
        <w:t xml:space="preserve">. Secretaria do Estado de </w:t>
      </w:r>
      <w:r>
        <w:rPr>
          <w:rFonts w:ascii="Arial" w:hAnsi="Arial" w:cs="Arial"/>
          <w:sz w:val="24"/>
          <w:szCs w:val="24"/>
        </w:rPr>
        <w:t>Planejamento</w:t>
      </w:r>
      <w:r w:rsidRPr="002111AF">
        <w:rPr>
          <w:rFonts w:ascii="Arial" w:hAnsi="Arial" w:cs="Arial"/>
          <w:sz w:val="24"/>
          <w:szCs w:val="24"/>
        </w:rPr>
        <w:t xml:space="preserve">. </w:t>
      </w:r>
      <w:r w:rsidRPr="002111AF">
        <w:rPr>
          <w:rStyle w:val="Forte"/>
          <w:rFonts w:ascii="Arial" w:hAnsi="Arial" w:cs="Arial"/>
          <w:bCs/>
          <w:color w:val="000000"/>
          <w:sz w:val="24"/>
          <w:szCs w:val="24"/>
          <w:shd w:val="clear" w:color="auto" w:fill="FFFFFF"/>
        </w:rPr>
        <w:t xml:space="preserve">Mapas das secretarias de estado do desenvolvimento regional. </w:t>
      </w:r>
      <w:r w:rsidRPr="002111AF">
        <w:rPr>
          <w:rStyle w:val="Forte"/>
          <w:rFonts w:ascii="Arial" w:hAnsi="Arial" w:cs="Arial"/>
          <w:b w:val="0"/>
          <w:bCs/>
          <w:sz w:val="24"/>
          <w:szCs w:val="24"/>
          <w:shd w:val="clear" w:color="auto" w:fill="FFFFFF"/>
        </w:rPr>
        <w:t xml:space="preserve">Disponível em: </w:t>
      </w:r>
      <w:hyperlink r:id="rId14" w:history="1">
        <w:r w:rsidRPr="002111AF">
          <w:rPr>
            <w:rStyle w:val="Hyperlink"/>
            <w:rFonts w:ascii="Arial" w:hAnsi="Arial" w:cs="Arial"/>
            <w:color w:val="auto"/>
            <w:sz w:val="24"/>
            <w:szCs w:val="24"/>
            <w:u w:val="none"/>
          </w:rPr>
          <w:t>http://www.sc.gov.br/conteudo/governo/regionais/itajai.htm</w:t>
        </w:r>
      </w:hyperlink>
      <w:r w:rsidRPr="002111AF">
        <w:rPr>
          <w:rFonts w:ascii="Arial" w:hAnsi="Arial" w:cs="Arial"/>
          <w:sz w:val="24"/>
          <w:szCs w:val="24"/>
        </w:rPr>
        <w:t>.</w:t>
      </w:r>
      <w:r w:rsidRPr="002111AF">
        <w:rPr>
          <w:rFonts w:ascii="Arial" w:hAnsi="Arial" w:cs="Arial"/>
          <w:b/>
          <w:sz w:val="24"/>
          <w:szCs w:val="24"/>
        </w:rPr>
        <w:t xml:space="preserve"> </w:t>
      </w:r>
      <w:r w:rsidRPr="002111AF">
        <w:rPr>
          <w:rStyle w:val="Forte"/>
          <w:rFonts w:ascii="Arial" w:hAnsi="Arial" w:cs="Arial"/>
          <w:b w:val="0"/>
          <w:bCs/>
          <w:sz w:val="24"/>
          <w:szCs w:val="24"/>
          <w:shd w:val="clear" w:color="auto" w:fill="FFFFFF"/>
        </w:rPr>
        <w:t>Acesso em 21 abr. 2012.</w:t>
      </w:r>
      <w:r w:rsidRPr="002111AF">
        <w:rPr>
          <w:rStyle w:val="apple-converted-space"/>
          <w:rFonts w:ascii="Arial" w:hAnsi="Arial" w:cs="Arial"/>
          <w:b/>
          <w:bCs/>
          <w:sz w:val="24"/>
          <w:szCs w:val="24"/>
          <w:shd w:val="clear" w:color="auto" w:fill="FFFFFF"/>
        </w:rPr>
        <w:t> </w:t>
      </w:r>
    </w:p>
    <w:p w:rsidR="00E25AC7" w:rsidRDefault="00E25AC7" w:rsidP="0070121B">
      <w:pPr>
        <w:pStyle w:val="SemEspaamento"/>
        <w:rPr>
          <w:sz w:val="23"/>
          <w:szCs w:val="23"/>
        </w:rPr>
      </w:pPr>
    </w:p>
    <w:p w:rsidR="00E25AC7" w:rsidRDefault="00E25AC7" w:rsidP="0070121B">
      <w:pPr>
        <w:pStyle w:val="SemEspaamento"/>
        <w:rPr>
          <w:rFonts w:ascii="Arial" w:hAnsi="Arial" w:cs="Arial"/>
          <w:sz w:val="24"/>
          <w:szCs w:val="24"/>
          <w:lang w:eastAsia="pt-BR"/>
        </w:rPr>
      </w:pPr>
      <w:r w:rsidRPr="0070121B">
        <w:rPr>
          <w:rFonts w:ascii="Arial" w:hAnsi="Arial" w:cs="Arial"/>
          <w:sz w:val="24"/>
          <w:szCs w:val="24"/>
          <w:lang w:eastAsia="pt-BR"/>
        </w:rPr>
        <w:t xml:space="preserve">SILVA, Fernando Rezende da. </w:t>
      </w:r>
      <w:r w:rsidRPr="0070121B">
        <w:rPr>
          <w:rFonts w:ascii="Arial" w:hAnsi="Arial" w:cs="Arial"/>
          <w:b/>
          <w:bCs/>
          <w:sz w:val="24"/>
          <w:szCs w:val="24"/>
          <w:lang w:eastAsia="pt-BR"/>
        </w:rPr>
        <w:t>Finanças Públicas</w:t>
      </w:r>
      <w:r w:rsidRPr="0070121B">
        <w:rPr>
          <w:rFonts w:ascii="Arial" w:hAnsi="Arial" w:cs="Arial"/>
          <w:sz w:val="24"/>
          <w:szCs w:val="24"/>
          <w:lang w:eastAsia="pt-BR"/>
        </w:rPr>
        <w:t>. São Paulo: Atlas, 2001.</w:t>
      </w:r>
    </w:p>
    <w:p w:rsidR="00E25AC7" w:rsidRDefault="00E25AC7" w:rsidP="0070121B">
      <w:pPr>
        <w:pStyle w:val="SemEspaamento"/>
        <w:rPr>
          <w:rFonts w:ascii="Arial" w:hAnsi="Arial" w:cs="Arial"/>
          <w:sz w:val="24"/>
          <w:szCs w:val="24"/>
          <w:lang w:eastAsia="pt-BR"/>
        </w:rPr>
      </w:pPr>
    </w:p>
    <w:p w:rsidR="00E25AC7" w:rsidRPr="0070121B" w:rsidRDefault="00E25AC7" w:rsidP="0070121B">
      <w:pPr>
        <w:pStyle w:val="SemEspaamento"/>
        <w:rPr>
          <w:rFonts w:ascii="Arial" w:hAnsi="Arial" w:cs="Arial"/>
          <w:sz w:val="24"/>
          <w:szCs w:val="24"/>
          <w:lang w:eastAsia="pt-BR"/>
        </w:rPr>
      </w:pPr>
      <w:r>
        <w:rPr>
          <w:rFonts w:ascii="Arial" w:hAnsi="Arial" w:cs="Arial"/>
          <w:sz w:val="24"/>
          <w:szCs w:val="24"/>
          <w:lang w:eastAsia="pt-BR"/>
        </w:rPr>
        <w:t xml:space="preserve">TCE/SC. Tribunal de Contas de Santa Catarina. </w:t>
      </w:r>
      <w:r w:rsidRPr="00D319E3">
        <w:rPr>
          <w:rFonts w:ascii="Arial" w:hAnsi="Arial" w:cs="Arial"/>
          <w:b/>
          <w:sz w:val="24"/>
          <w:szCs w:val="24"/>
          <w:lang w:eastAsia="pt-BR"/>
        </w:rPr>
        <w:t>Portal do Cidadão</w:t>
      </w:r>
      <w:r>
        <w:rPr>
          <w:rFonts w:ascii="Arial" w:hAnsi="Arial" w:cs="Arial"/>
          <w:sz w:val="24"/>
          <w:szCs w:val="24"/>
          <w:lang w:eastAsia="pt-BR"/>
        </w:rPr>
        <w:t xml:space="preserve">. Disponível em: </w:t>
      </w:r>
      <w:hyperlink r:id="rId15" w:history="1">
        <w:r w:rsidRPr="004D6D99">
          <w:rPr>
            <w:rStyle w:val="Hyperlink"/>
            <w:rFonts w:ascii="Arial" w:hAnsi="Arial" w:cs="Arial"/>
            <w:color w:val="auto"/>
            <w:sz w:val="24"/>
            <w:szCs w:val="24"/>
            <w:u w:val="none"/>
            <w:lang w:eastAsia="pt-BR"/>
          </w:rPr>
          <w:t>http://www.tce.sc.gov.br</w:t>
        </w:r>
      </w:hyperlink>
      <w:r w:rsidRPr="004D6D99">
        <w:rPr>
          <w:rFonts w:ascii="Arial" w:hAnsi="Arial" w:cs="Arial"/>
          <w:sz w:val="24"/>
          <w:szCs w:val="24"/>
          <w:lang w:eastAsia="pt-BR"/>
        </w:rPr>
        <w:t>.</w:t>
      </w:r>
      <w:r>
        <w:rPr>
          <w:rFonts w:ascii="Arial" w:hAnsi="Arial" w:cs="Arial"/>
          <w:sz w:val="24"/>
          <w:szCs w:val="24"/>
          <w:lang w:eastAsia="pt-BR"/>
        </w:rPr>
        <w:t xml:space="preserve"> Acesso em 03 abr. 2012.</w:t>
      </w:r>
    </w:p>
    <w:p w:rsidR="00E25AC7" w:rsidRPr="0070121B" w:rsidRDefault="00E25AC7" w:rsidP="0070121B">
      <w:pPr>
        <w:pStyle w:val="SemEspaamento"/>
        <w:rPr>
          <w:rFonts w:ascii="Arial" w:hAnsi="Arial" w:cs="Arial"/>
          <w:sz w:val="24"/>
          <w:szCs w:val="24"/>
          <w:lang w:eastAsia="pt-BR"/>
        </w:rPr>
      </w:pPr>
    </w:p>
    <w:p w:rsidR="00E25AC7" w:rsidRPr="0070121B" w:rsidRDefault="00E25AC7" w:rsidP="0070121B">
      <w:pPr>
        <w:pStyle w:val="SemEspaamento"/>
        <w:rPr>
          <w:rFonts w:ascii="Arial" w:hAnsi="Arial" w:cs="Arial"/>
          <w:sz w:val="24"/>
          <w:szCs w:val="24"/>
          <w:lang w:eastAsia="pt-BR"/>
        </w:rPr>
      </w:pPr>
      <w:r w:rsidRPr="0070121B">
        <w:rPr>
          <w:rFonts w:ascii="Arial" w:hAnsi="Arial" w:cs="Arial"/>
          <w:sz w:val="24"/>
          <w:szCs w:val="24"/>
          <w:lang w:eastAsia="pt-BR"/>
        </w:rPr>
        <w:t xml:space="preserve">TRIVIÑOS, Augusto. </w:t>
      </w:r>
      <w:r w:rsidRPr="0070121B">
        <w:rPr>
          <w:rFonts w:ascii="Arial" w:hAnsi="Arial" w:cs="Arial"/>
          <w:b/>
          <w:bCs/>
          <w:sz w:val="24"/>
          <w:szCs w:val="24"/>
          <w:lang w:eastAsia="pt-BR"/>
        </w:rPr>
        <w:t>Introdução à pesquisa em ciências sociais</w:t>
      </w:r>
      <w:r w:rsidRPr="0070121B">
        <w:rPr>
          <w:rFonts w:ascii="Arial" w:hAnsi="Arial" w:cs="Arial"/>
          <w:sz w:val="24"/>
          <w:szCs w:val="24"/>
          <w:lang w:eastAsia="pt-BR"/>
        </w:rPr>
        <w:t>: a pesquisa qualitativa em educação. São Paulo: Atlas, 1987.</w:t>
      </w:r>
    </w:p>
    <w:p w:rsidR="00E25AC7" w:rsidRPr="0070121B" w:rsidRDefault="00E25AC7" w:rsidP="0070121B">
      <w:pPr>
        <w:pStyle w:val="SemEspaamento"/>
        <w:rPr>
          <w:rFonts w:ascii="Arial" w:hAnsi="Arial" w:cs="Arial"/>
          <w:sz w:val="24"/>
          <w:szCs w:val="24"/>
        </w:rPr>
      </w:pPr>
    </w:p>
    <w:p w:rsidR="00E25AC7" w:rsidRPr="0070121B" w:rsidRDefault="00E25AC7" w:rsidP="0070121B">
      <w:pPr>
        <w:pStyle w:val="SemEspaamento"/>
        <w:rPr>
          <w:rFonts w:ascii="Arial" w:hAnsi="Arial" w:cs="Arial"/>
          <w:sz w:val="24"/>
          <w:szCs w:val="24"/>
        </w:rPr>
      </w:pPr>
      <w:r w:rsidRPr="0070121B">
        <w:rPr>
          <w:rFonts w:ascii="Arial" w:hAnsi="Arial" w:cs="Arial"/>
          <w:sz w:val="24"/>
          <w:szCs w:val="24"/>
        </w:rPr>
        <w:t xml:space="preserve">ZELENOVSKY, Maria </w:t>
      </w:r>
      <w:proofErr w:type="spellStart"/>
      <w:r w:rsidRPr="0070121B">
        <w:rPr>
          <w:rFonts w:ascii="Arial" w:hAnsi="Arial" w:cs="Arial"/>
          <w:sz w:val="24"/>
          <w:szCs w:val="24"/>
        </w:rPr>
        <w:t>Antonia</w:t>
      </w:r>
      <w:proofErr w:type="spellEnd"/>
      <w:r w:rsidRPr="0070121B">
        <w:rPr>
          <w:rFonts w:ascii="Arial" w:hAnsi="Arial" w:cs="Arial"/>
          <w:sz w:val="24"/>
          <w:szCs w:val="24"/>
        </w:rPr>
        <w:t xml:space="preserve"> Ferraz; OLIVEIRA, Mariana Siqueira de Carvalho. </w:t>
      </w:r>
      <w:r w:rsidRPr="0070121B">
        <w:rPr>
          <w:rFonts w:ascii="Arial" w:hAnsi="Arial" w:cs="Arial"/>
          <w:b/>
          <w:sz w:val="24"/>
          <w:szCs w:val="24"/>
        </w:rPr>
        <w:t>O Tribunal de Contas da União e os Conselhos de Saúde:</w:t>
      </w:r>
      <w:r w:rsidRPr="0070121B">
        <w:rPr>
          <w:rFonts w:ascii="Arial" w:hAnsi="Arial" w:cs="Arial"/>
          <w:sz w:val="24"/>
          <w:szCs w:val="24"/>
        </w:rPr>
        <w:t xml:space="preserve"> possibilidades de cooperação nas ações de controle. Disponível em: </w:t>
      </w:r>
      <w:hyperlink r:id="rId16" w:history="1">
        <w:r w:rsidRPr="004D6D99">
          <w:rPr>
            <w:rStyle w:val="Hyperlink"/>
            <w:rFonts w:ascii="Arial" w:hAnsi="Arial" w:cs="Arial"/>
            <w:color w:val="auto"/>
            <w:sz w:val="24"/>
            <w:szCs w:val="24"/>
            <w:u w:val="none"/>
          </w:rPr>
          <w:t>http://portal2.tcu.gov.br/portal/pls/portal/docs/2054998.PDF</w:t>
        </w:r>
      </w:hyperlink>
      <w:r w:rsidRPr="004D6D99">
        <w:rPr>
          <w:rStyle w:val="Hyperlink"/>
          <w:rFonts w:ascii="Arial" w:hAnsi="Arial" w:cs="Arial"/>
          <w:color w:val="auto"/>
          <w:sz w:val="24"/>
          <w:szCs w:val="24"/>
          <w:u w:val="none"/>
        </w:rPr>
        <w:t xml:space="preserve">. </w:t>
      </w:r>
      <w:r w:rsidRPr="0070121B">
        <w:rPr>
          <w:rStyle w:val="Hyperlink"/>
          <w:rFonts w:ascii="Arial" w:hAnsi="Arial" w:cs="Arial"/>
          <w:color w:val="auto"/>
          <w:sz w:val="24"/>
          <w:szCs w:val="24"/>
          <w:u w:val="none"/>
        </w:rPr>
        <w:t>Acesso em 13 abr. 2012.</w:t>
      </w:r>
    </w:p>
    <w:sectPr w:rsidR="00E25AC7" w:rsidRPr="0070121B" w:rsidSect="00D9659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5AC6" w:rsidRDefault="004D5AC6" w:rsidP="004A18B5">
      <w:pPr>
        <w:spacing w:after="0" w:line="240" w:lineRule="auto"/>
      </w:pPr>
      <w:r>
        <w:separator/>
      </w:r>
    </w:p>
  </w:endnote>
  <w:endnote w:type="continuationSeparator" w:id="0">
    <w:p w:rsidR="004D5AC6" w:rsidRDefault="004D5AC6" w:rsidP="004A18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5AC6" w:rsidRDefault="004D5AC6" w:rsidP="004A18B5">
      <w:pPr>
        <w:spacing w:after="0" w:line="240" w:lineRule="auto"/>
      </w:pPr>
      <w:r>
        <w:separator/>
      </w:r>
    </w:p>
  </w:footnote>
  <w:footnote w:type="continuationSeparator" w:id="0">
    <w:p w:rsidR="004D5AC6" w:rsidRDefault="004D5AC6" w:rsidP="004A18B5">
      <w:pPr>
        <w:spacing w:after="0" w:line="240" w:lineRule="auto"/>
      </w:pPr>
      <w:r>
        <w:continuationSeparator/>
      </w:r>
    </w:p>
  </w:footnote>
  <w:footnote w:id="1">
    <w:p w:rsidR="00E25AC7" w:rsidRDefault="00E25AC7" w:rsidP="004A18B5">
      <w:pPr>
        <w:pStyle w:val="Textodenotaderodap"/>
        <w:jc w:val="both"/>
      </w:pPr>
      <w:r>
        <w:rPr>
          <w:rStyle w:val="Refdenotaderodap"/>
          <w:rFonts w:ascii="Arial" w:hAnsi="Arial" w:cs="Arial"/>
        </w:rPr>
        <w:footnoteRef/>
      </w:r>
      <w:r>
        <w:rPr>
          <w:rFonts w:ascii="Arial" w:hAnsi="Arial" w:cs="Arial"/>
        </w:rPr>
        <w:t xml:space="preserve">ESAG/UDESC, Mestre em Economia, Coordenadora do Projeto de Extensão Bússola Municipal, </w:t>
      </w:r>
      <w:proofErr w:type="gramStart"/>
      <w:r>
        <w:rPr>
          <w:rFonts w:ascii="Arial" w:hAnsi="Arial" w:cs="Arial"/>
        </w:rPr>
        <w:t>ivoneti.ramos@udesc.br</w:t>
      </w:r>
      <w:proofErr w:type="gramEnd"/>
    </w:p>
  </w:footnote>
  <w:footnote w:id="2">
    <w:p w:rsidR="00E25AC7" w:rsidRDefault="00E25AC7" w:rsidP="004A18B5">
      <w:pPr>
        <w:pStyle w:val="Textodenotaderodap"/>
        <w:jc w:val="both"/>
      </w:pPr>
      <w:r>
        <w:rPr>
          <w:rStyle w:val="Refdenotaderodap"/>
          <w:rFonts w:ascii="Arial" w:hAnsi="Arial" w:cs="Arial"/>
        </w:rPr>
        <w:footnoteRef/>
      </w:r>
      <w:r>
        <w:rPr>
          <w:rFonts w:ascii="Arial" w:hAnsi="Arial" w:cs="Arial"/>
        </w:rPr>
        <w:t xml:space="preserve"> ESAG/UDESC, acadêmica de Administração Pública, bolsista, </w:t>
      </w:r>
      <w:proofErr w:type="gramStart"/>
      <w:r>
        <w:rPr>
          <w:rFonts w:ascii="Arial" w:hAnsi="Arial" w:cs="Arial"/>
        </w:rPr>
        <w:t>brunaanz@gmail.com</w:t>
      </w:r>
      <w:proofErr w:type="gramEnd"/>
    </w:p>
  </w:footnote>
  <w:footnote w:id="3">
    <w:p w:rsidR="00E25AC7" w:rsidRDefault="00E25AC7" w:rsidP="004A18B5">
      <w:pPr>
        <w:pStyle w:val="Textodenotaderodap"/>
        <w:jc w:val="both"/>
      </w:pPr>
      <w:r>
        <w:rPr>
          <w:rStyle w:val="Refdenotaderodap"/>
          <w:rFonts w:ascii="Arial" w:hAnsi="Arial" w:cs="Arial"/>
        </w:rPr>
        <w:footnoteRef/>
      </w:r>
      <w:r>
        <w:rPr>
          <w:rFonts w:ascii="Arial" w:hAnsi="Arial" w:cs="Arial"/>
        </w:rPr>
        <w:t xml:space="preserve"> ESAG/UDESC, acadêmica de Administração Pública, bolsista, </w:t>
      </w:r>
      <w:proofErr w:type="gramStart"/>
      <w:r>
        <w:rPr>
          <w:rFonts w:ascii="Arial" w:hAnsi="Arial" w:cs="Arial"/>
        </w:rPr>
        <w:t>helena.mlima@hotmail.com</w:t>
      </w:r>
      <w:proofErr w:type="gramEnd"/>
    </w:p>
  </w:footnote>
  <w:footnote w:id="4">
    <w:p w:rsidR="00E25AC7" w:rsidRDefault="00E25AC7" w:rsidP="004A18B5">
      <w:pPr>
        <w:pStyle w:val="Textodenotaderodap"/>
        <w:jc w:val="both"/>
      </w:pPr>
      <w:r>
        <w:rPr>
          <w:rStyle w:val="Refdenotaderodap"/>
          <w:rFonts w:ascii="Arial" w:hAnsi="Arial" w:cs="Arial"/>
        </w:rPr>
        <w:footnoteRef/>
      </w:r>
      <w:r>
        <w:rPr>
          <w:rFonts w:ascii="Arial" w:hAnsi="Arial" w:cs="Arial"/>
        </w:rPr>
        <w:t xml:space="preserve"> ESAG/UDESC, acadêmica de Administração Pública, bolsista, </w:t>
      </w:r>
      <w:proofErr w:type="gramStart"/>
      <w:r>
        <w:rPr>
          <w:rFonts w:ascii="Arial" w:hAnsi="Arial" w:cs="Arial"/>
        </w:rPr>
        <w:t>laurateixeiralinhares@gmail.com</w:t>
      </w:r>
      <w:proofErr w:type="gramEnd"/>
    </w:p>
  </w:footnote>
  <w:footnote w:id="5">
    <w:p w:rsidR="00E25AC7" w:rsidRDefault="00E25AC7" w:rsidP="004A18B5">
      <w:pPr>
        <w:pStyle w:val="Textodenotaderodap"/>
        <w:jc w:val="both"/>
      </w:pPr>
      <w:r>
        <w:rPr>
          <w:rStyle w:val="Refdenotaderodap"/>
          <w:rFonts w:ascii="Arial" w:hAnsi="Arial" w:cs="Arial"/>
        </w:rPr>
        <w:footnoteRef/>
      </w:r>
      <w:r>
        <w:rPr>
          <w:rFonts w:ascii="Arial" w:hAnsi="Arial" w:cs="Arial"/>
        </w:rPr>
        <w:t xml:space="preserve"> ESAG/UDESC, acadêmica de Administração Pública, bolsista, cidanetocruz@ig.com.br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52ADD"/>
    <w:rsid w:val="0000188C"/>
    <w:rsid w:val="00003D4A"/>
    <w:rsid w:val="00006EA2"/>
    <w:rsid w:val="00007BFD"/>
    <w:rsid w:val="0001085B"/>
    <w:rsid w:val="000121DD"/>
    <w:rsid w:val="00023E75"/>
    <w:rsid w:val="00034022"/>
    <w:rsid w:val="00037489"/>
    <w:rsid w:val="00040443"/>
    <w:rsid w:val="00042476"/>
    <w:rsid w:val="00044424"/>
    <w:rsid w:val="00044D4E"/>
    <w:rsid w:val="000709B8"/>
    <w:rsid w:val="00070F4B"/>
    <w:rsid w:val="000763CD"/>
    <w:rsid w:val="00090616"/>
    <w:rsid w:val="000940DB"/>
    <w:rsid w:val="000975DB"/>
    <w:rsid w:val="000A079E"/>
    <w:rsid w:val="000A0D46"/>
    <w:rsid w:val="000A2E36"/>
    <w:rsid w:val="000B278D"/>
    <w:rsid w:val="000B2ED8"/>
    <w:rsid w:val="000B3659"/>
    <w:rsid w:val="000B6C8B"/>
    <w:rsid w:val="000B716F"/>
    <w:rsid w:val="000C445D"/>
    <w:rsid w:val="000D1735"/>
    <w:rsid w:val="000D7200"/>
    <w:rsid w:val="000E23B5"/>
    <w:rsid w:val="000E5C5E"/>
    <w:rsid w:val="000F1545"/>
    <w:rsid w:val="001004A4"/>
    <w:rsid w:val="00101783"/>
    <w:rsid w:val="00103841"/>
    <w:rsid w:val="001047EA"/>
    <w:rsid w:val="00115BAD"/>
    <w:rsid w:val="0011601E"/>
    <w:rsid w:val="00124F17"/>
    <w:rsid w:val="001305E9"/>
    <w:rsid w:val="00140F0E"/>
    <w:rsid w:val="00142756"/>
    <w:rsid w:val="00143069"/>
    <w:rsid w:val="0014531C"/>
    <w:rsid w:val="001456A5"/>
    <w:rsid w:val="00146B4D"/>
    <w:rsid w:val="00147F5A"/>
    <w:rsid w:val="0015263A"/>
    <w:rsid w:val="00162164"/>
    <w:rsid w:val="0016562E"/>
    <w:rsid w:val="001662A6"/>
    <w:rsid w:val="001706B2"/>
    <w:rsid w:val="001727CA"/>
    <w:rsid w:val="001728A9"/>
    <w:rsid w:val="00174D43"/>
    <w:rsid w:val="001A1038"/>
    <w:rsid w:val="001B0177"/>
    <w:rsid w:val="001B2ED1"/>
    <w:rsid w:val="001B4214"/>
    <w:rsid w:val="001C5D66"/>
    <w:rsid w:val="001C741E"/>
    <w:rsid w:val="001D06DF"/>
    <w:rsid w:val="001D0C40"/>
    <w:rsid w:val="001D61EC"/>
    <w:rsid w:val="001F274B"/>
    <w:rsid w:val="001F3552"/>
    <w:rsid w:val="001F547A"/>
    <w:rsid w:val="00206256"/>
    <w:rsid w:val="00206362"/>
    <w:rsid w:val="002111AF"/>
    <w:rsid w:val="00214453"/>
    <w:rsid w:val="002207E2"/>
    <w:rsid w:val="00224214"/>
    <w:rsid w:val="00225F2F"/>
    <w:rsid w:val="00225F72"/>
    <w:rsid w:val="002309FC"/>
    <w:rsid w:val="00237550"/>
    <w:rsid w:val="00237A58"/>
    <w:rsid w:val="00240553"/>
    <w:rsid w:val="00241012"/>
    <w:rsid w:val="00243596"/>
    <w:rsid w:val="00250AA5"/>
    <w:rsid w:val="00251B0B"/>
    <w:rsid w:val="00251FDA"/>
    <w:rsid w:val="00265776"/>
    <w:rsid w:val="00272B44"/>
    <w:rsid w:val="00281B6F"/>
    <w:rsid w:val="00285446"/>
    <w:rsid w:val="002865F6"/>
    <w:rsid w:val="002879AC"/>
    <w:rsid w:val="00287A81"/>
    <w:rsid w:val="00296E48"/>
    <w:rsid w:val="002973D3"/>
    <w:rsid w:val="002A2FD6"/>
    <w:rsid w:val="002B255D"/>
    <w:rsid w:val="002B767D"/>
    <w:rsid w:val="002C4DAA"/>
    <w:rsid w:val="002C7AF8"/>
    <w:rsid w:val="002D4819"/>
    <w:rsid w:val="002D74E8"/>
    <w:rsid w:val="002E006B"/>
    <w:rsid w:val="002E271E"/>
    <w:rsid w:val="002F05F1"/>
    <w:rsid w:val="002F3C00"/>
    <w:rsid w:val="002F6DC9"/>
    <w:rsid w:val="003039AC"/>
    <w:rsid w:val="00307813"/>
    <w:rsid w:val="00307C08"/>
    <w:rsid w:val="00307CFC"/>
    <w:rsid w:val="00312851"/>
    <w:rsid w:val="00316F97"/>
    <w:rsid w:val="003209FB"/>
    <w:rsid w:val="00326EE0"/>
    <w:rsid w:val="00335059"/>
    <w:rsid w:val="00335BB9"/>
    <w:rsid w:val="0034401F"/>
    <w:rsid w:val="00353B5B"/>
    <w:rsid w:val="003542C5"/>
    <w:rsid w:val="00361DC8"/>
    <w:rsid w:val="0037633C"/>
    <w:rsid w:val="00381375"/>
    <w:rsid w:val="00383C9F"/>
    <w:rsid w:val="00385D2B"/>
    <w:rsid w:val="00397778"/>
    <w:rsid w:val="003A0A9B"/>
    <w:rsid w:val="003A2178"/>
    <w:rsid w:val="003A290E"/>
    <w:rsid w:val="003B0D46"/>
    <w:rsid w:val="003B4525"/>
    <w:rsid w:val="003B5D3D"/>
    <w:rsid w:val="003C735D"/>
    <w:rsid w:val="003D0B30"/>
    <w:rsid w:val="003D576C"/>
    <w:rsid w:val="003D58D1"/>
    <w:rsid w:val="003E0FBF"/>
    <w:rsid w:val="003E3E66"/>
    <w:rsid w:val="003F0AB9"/>
    <w:rsid w:val="003F26F5"/>
    <w:rsid w:val="003F4E68"/>
    <w:rsid w:val="00401607"/>
    <w:rsid w:val="00401979"/>
    <w:rsid w:val="0040354A"/>
    <w:rsid w:val="00410BEE"/>
    <w:rsid w:val="00420370"/>
    <w:rsid w:val="004217FD"/>
    <w:rsid w:val="0042678E"/>
    <w:rsid w:val="004268F4"/>
    <w:rsid w:val="00432020"/>
    <w:rsid w:val="00436247"/>
    <w:rsid w:val="004408B6"/>
    <w:rsid w:val="004426C4"/>
    <w:rsid w:val="004432AF"/>
    <w:rsid w:val="00443D50"/>
    <w:rsid w:val="00452ADD"/>
    <w:rsid w:val="00462DD9"/>
    <w:rsid w:val="004642BF"/>
    <w:rsid w:val="004703C2"/>
    <w:rsid w:val="004737BA"/>
    <w:rsid w:val="00473D95"/>
    <w:rsid w:val="00477377"/>
    <w:rsid w:val="0048214F"/>
    <w:rsid w:val="004833D4"/>
    <w:rsid w:val="00495178"/>
    <w:rsid w:val="0049783D"/>
    <w:rsid w:val="004A093B"/>
    <w:rsid w:val="004A18B5"/>
    <w:rsid w:val="004A4D46"/>
    <w:rsid w:val="004A7B10"/>
    <w:rsid w:val="004C0FDD"/>
    <w:rsid w:val="004C316A"/>
    <w:rsid w:val="004D01E4"/>
    <w:rsid w:val="004D386F"/>
    <w:rsid w:val="004D5AC6"/>
    <w:rsid w:val="004D6D99"/>
    <w:rsid w:val="004E0754"/>
    <w:rsid w:val="004E10AE"/>
    <w:rsid w:val="004E2CDB"/>
    <w:rsid w:val="004F2AEB"/>
    <w:rsid w:val="004F570B"/>
    <w:rsid w:val="004F589D"/>
    <w:rsid w:val="004F5AFD"/>
    <w:rsid w:val="00503578"/>
    <w:rsid w:val="005036CA"/>
    <w:rsid w:val="00512D1B"/>
    <w:rsid w:val="005141F4"/>
    <w:rsid w:val="00516C37"/>
    <w:rsid w:val="00521A3F"/>
    <w:rsid w:val="00531074"/>
    <w:rsid w:val="00532427"/>
    <w:rsid w:val="0053629F"/>
    <w:rsid w:val="00540318"/>
    <w:rsid w:val="00541B3E"/>
    <w:rsid w:val="00542A28"/>
    <w:rsid w:val="00543CE7"/>
    <w:rsid w:val="00545C22"/>
    <w:rsid w:val="00547D58"/>
    <w:rsid w:val="00555EBC"/>
    <w:rsid w:val="0056177D"/>
    <w:rsid w:val="005640CC"/>
    <w:rsid w:val="00564EE6"/>
    <w:rsid w:val="00571942"/>
    <w:rsid w:val="00572CDF"/>
    <w:rsid w:val="00574C85"/>
    <w:rsid w:val="0057535D"/>
    <w:rsid w:val="005764A5"/>
    <w:rsid w:val="0058018F"/>
    <w:rsid w:val="00581CAC"/>
    <w:rsid w:val="00593A7C"/>
    <w:rsid w:val="00593AF1"/>
    <w:rsid w:val="00593B24"/>
    <w:rsid w:val="005A019A"/>
    <w:rsid w:val="005B2B47"/>
    <w:rsid w:val="005B4A0C"/>
    <w:rsid w:val="005C7D9D"/>
    <w:rsid w:val="005D5128"/>
    <w:rsid w:val="005F335E"/>
    <w:rsid w:val="005F4620"/>
    <w:rsid w:val="00606AC2"/>
    <w:rsid w:val="00610A74"/>
    <w:rsid w:val="00620A86"/>
    <w:rsid w:val="00622F83"/>
    <w:rsid w:val="00633291"/>
    <w:rsid w:val="0063387D"/>
    <w:rsid w:val="00640579"/>
    <w:rsid w:val="006409E5"/>
    <w:rsid w:val="00654623"/>
    <w:rsid w:val="006559C2"/>
    <w:rsid w:val="0066243A"/>
    <w:rsid w:val="00672F8A"/>
    <w:rsid w:val="00675540"/>
    <w:rsid w:val="006A3805"/>
    <w:rsid w:val="006B0E29"/>
    <w:rsid w:val="006B13A3"/>
    <w:rsid w:val="006B167D"/>
    <w:rsid w:val="006B3912"/>
    <w:rsid w:val="006B3A9B"/>
    <w:rsid w:val="006B5348"/>
    <w:rsid w:val="006C1D55"/>
    <w:rsid w:val="006C1DF7"/>
    <w:rsid w:val="006C3412"/>
    <w:rsid w:val="006D60C3"/>
    <w:rsid w:val="006E688B"/>
    <w:rsid w:val="006F22A6"/>
    <w:rsid w:val="006F44EF"/>
    <w:rsid w:val="006F718A"/>
    <w:rsid w:val="0070121B"/>
    <w:rsid w:val="00715288"/>
    <w:rsid w:val="00721C74"/>
    <w:rsid w:val="007334FC"/>
    <w:rsid w:val="007354AB"/>
    <w:rsid w:val="00741643"/>
    <w:rsid w:val="0074279F"/>
    <w:rsid w:val="007462F0"/>
    <w:rsid w:val="007477D1"/>
    <w:rsid w:val="00752A03"/>
    <w:rsid w:val="00752EC6"/>
    <w:rsid w:val="0075455F"/>
    <w:rsid w:val="007601AC"/>
    <w:rsid w:val="00760C32"/>
    <w:rsid w:val="00765668"/>
    <w:rsid w:val="00770705"/>
    <w:rsid w:val="00783508"/>
    <w:rsid w:val="00783926"/>
    <w:rsid w:val="00783D6D"/>
    <w:rsid w:val="00790329"/>
    <w:rsid w:val="007A069C"/>
    <w:rsid w:val="007B35B9"/>
    <w:rsid w:val="007B63ED"/>
    <w:rsid w:val="007B6B34"/>
    <w:rsid w:val="007C23D1"/>
    <w:rsid w:val="007C2E76"/>
    <w:rsid w:val="007D1F0C"/>
    <w:rsid w:val="007D4302"/>
    <w:rsid w:val="007E3174"/>
    <w:rsid w:val="007E7387"/>
    <w:rsid w:val="007F66CF"/>
    <w:rsid w:val="008079BD"/>
    <w:rsid w:val="00816E57"/>
    <w:rsid w:val="0082057C"/>
    <w:rsid w:val="00822812"/>
    <w:rsid w:val="008313B9"/>
    <w:rsid w:val="00833FB5"/>
    <w:rsid w:val="008349F4"/>
    <w:rsid w:val="00835D0B"/>
    <w:rsid w:val="00841AC6"/>
    <w:rsid w:val="00844FE3"/>
    <w:rsid w:val="00853A66"/>
    <w:rsid w:val="00855534"/>
    <w:rsid w:val="00856D31"/>
    <w:rsid w:val="00857D69"/>
    <w:rsid w:val="00860070"/>
    <w:rsid w:val="00863EFB"/>
    <w:rsid w:val="008641C5"/>
    <w:rsid w:val="00874478"/>
    <w:rsid w:val="00874512"/>
    <w:rsid w:val="00874647"/>
    <w:rsid w:val="00882F4F"/>
    <w:rsid w:val="00884C21"/>
    <w:rsid w:val="008862B9"/>
    <w:rsid w:val="0088778D"/>
    <w:rsid w:val="00892523"/>
    <w:rsid w:val="00896551"/>
    <w:rsid w:val="0089793B"/>
    <w:rsid w:val="008D5492"/>
    <w:rsid w:val="008D733C"/>
    <w:rsid w:val="008E0580"/>
    <w:rsid w:val="008E3A28"/>
    <w:rsid w:val="008E67F4"/>
    <w:rsid w:val="008F27FA"/>
    <w:rsid w:val="008F351E"/>
    <w:rsid w:val="009110A0"/>
    <w:rsid w:val="009117DD"/>
    <w:rsid w:val="00914603"/>
    <w:rsid w:val="0091715E"/>
    <w:rsid w:val="009273F5"/>
    <w:rsid w:val="00931012"/>
    <w:rsid w:val="0093393C"/>
    <w:rsid w:val="0094138B"/>
    <w:rsid w:val="009553B8"/>
    <w:rsid w:val="00961D4F"/>
    <w:rsid w:val="0097262F"/>
    <w:rsid w:val="009758DE"/>
    <w:rsid w:val="00990536"/>
    <w:rsid w:val="009972D4"/>
    <w:rsid w:val="009A774B"/>
    <w:rsid w:val="009B6F40"/>
    <w:rsid w:val="009C48C5"/>
    <w:rsid w:val="009C4EC1"/>
    <w:rsid w:val="009D205B"/>
    <w:rsid w:val="009D274A"/>
    <w:rsid w:val="009D64AE"/>
    <w:rsid w:val="009E1CD1"/>
    <w:rsid w:val="009E3C6A"/>
    <w:rsid w:val="009E6C34"/>
    <w:rsid w:val="009E7C0F"/>
    <w:rsid w:val="009F1F83"/>
    <w:rsid w:val="00A0404C"/>
    <w:rsid w:val="00A137BF"/>
    <w:rsid w:val="00A13FBF"/>
    <w:rsid w:val="00A1519D"/>
    <w:rsid w:val="00A15E98"/>
    <w:rsid w:val="00A16A9B"/>
    <w:rsid w:val="00A20141"/>
    <w:rsid w:val="00A22F4C"/>
    <w:rsid w:val="00A267AC"/>
    <w:rsid w:val="00A27A1C"/>
    <w:rsid w:val="00A34B4A"/>
    <w:rsid w:val="00A430AD"/>
    <w:rsid w:val="00A54C07"/>
    <w:rsid w:val="00A713E7"/>
    <w:rsid w:val="00A74D27"/>
    <w:rsid w:val="00A753C1"/>
    <w:rsid w:val="00A76E8E"/>
    <w:rsid w:val="00A8226B"/>
    <w:rsid w:val="00AA28B3"/>
    <w:rsid w:val="00AA2C3A"/>
    <w:rsid w:val="00AB16EA"/>
    <w:rsid w:val="00AB29B2"/>
    <w:rsid w:val="00AB55FF"/>
    <w:rsid w:val="00AB6275"/>
    <w:rsid w:val="00AC0E7A"/>
    <w:rsid w:val="00AC1234"/>
    <w:rsid w:val="00AC2D6F"/>
    <w:rsid w:val="00AC3E44"/>
    <w:rsid w:val="00AE001F"/>
    <w:rsid w:val="00AE05D1"/>
    <w:rsid w:val="00AE1EEE"/>
    <w:rsid w:val="00AE38D6"/>
    <w:rsid w:val="00AF058A"/>
    <w:rsid w:val="00AF109D"/>
    <w:rsid w:val="00AF3D42"/>
    <w:rsid w:val="00AF3E75"/>
    <w:rsid w:val="00AF4276"/>
    <w:rsid w:val="00B00D47"/>
    <w:rsid w:val="00B01DB6"/>
    <w:rsid w:val="00B0636E"/>
    <w:rsid w:val="00B07DEF"/>
    <w:rsid w:val="00B11C52"/>
    <w:rsid w:val="00B11F4D"/>
    <w:rsid w:val="00B142BE"/>
    <w:rsid w:val="00B202A3"/>
    <w:rsid w:val="00B23648"/>
    <w:rsid w:val="00B25EEF"/>
    <w:rsid w:val="00B300B8"/>
    <w:rsid w:val="00B330BC"/>
    <w:rsid w:val="00B420AB"/>
    <w:rsid w:val="00B55F1B"/>
    <w:rsid w:val="00B5793A"/>
    <w:rsid w:val="00B57A14"/>
    <w:rsid w:val="00B6694B"/>
    <w:rsid w:val="00B72113"/>
    <w:rsid w:val="00B776BA"/>
    <w:rsid w:val="00B80132"/>
    <w:rsid w:val="00B9720C"/>
    <w:rsid w:val="00BA046C"/>
    <w:rsid w:val="00BA1196"/>
    <w:rsid w:val="00BA4A68"/>
    <w:rsid w:val="00BA67DA"/>
    <w:rsid w:val="00BB0E48"/>
    <w:rsid w:val="00BB3D6E"/>
    <w:rsid w:val="00BB420B"/>
    <w:rsid w:val="00BB42BA"/>
    <w:rsid w:val="00BC528F"/>
    <w:rsid w:val="00BC615B"/>
    <w:rsid w:val="00BC7B15"/>
    <w:rsid w:val="00BD13BC"/>
    <w:rsid w:val="00BD3138"/>
    <w:rsid w:val="00BE16C5"/>
    <w:rsid w:val="00BE1B18"/>
    <w:rsid w:val="00BE2D8D"/>
    <w:rsid w:val="00BE32AA"/>
    <w:rsid w:val="00BE4858"/>
    <w:rsid w:val="00BE5047"/>
    <w:rsid w:val="00BF39C6"/>
    <w:rsid w:val="00BF7E6D"/>
    <w:rsid w:val="00C00850"/>
    <w:rsid w:val="00C02AD8"/>
    <w:rsid w:val="00C03EB0"/>
    <w:rsid w:val="00C049F8"/>
    <w:rsid w:val="00C13FB0"/>
    <w:rsid w:val="00C24560"/>
    <w:rsid w:val="00C2700D"/>
    <w:rsid w:val="00C30C70"/>
    <w:rsid w:val="00C40498"/>
    <w:rsid w:val="00C404AD"/>
    <w:rsid w:val="00C409BC"/>
    <w:rsid w:val="00C503D5"/>
    <w:rsid w:val="00C53748"/>
    <w:rsid w:val="00C539E2"/>
    <w:rsid w:val="00C5435A"/>
    <w:rsid w:val="00C63C6F"/>
    <w:rsid w:val="00C64A86"/>
    <w:rsid w:val="00C6739F"/>
    <w:rsid w:val="00C67B89"/>
    <w:rsid w:val="00C70B35"/>
    <w:rsid w:val="00C7545D"/>
    <w:rsid w:val="00C82199"/>
    <w:rsid w:val="00C959CD"/>
    <w:rsid w:val="00C96546"/>
    <w:rsid w:val="00CA0765"/>
    <w:rsid w:val="00CA1321"/>
    <w:rsid w:val="00CA35C8"/>
    <w:rsid w:val="00CA66B8"/>
    <w:rsid w:val="00CB17A4"/>
    <w:rsid w:val="00CB7D34"/>
    <w:rsid w:val="00CC17F4"/>
    <w:rsid w:val="00CD521F"/>
    <w:rsid w:val="00CD603D"/>
    <w:rsid w:val="00CD66D8"/>
    <w:rsid w:val="00CE08FE"/>
    <w:rsid w:val="00CE09F4"/>
    <w:rsid w:val="00CE34CF"/>
    <w:rsid w:val="00CE45B8"/>
    <w:rsid w:val="00CE7B95"/>
    <w:rsid w:val="00CE7C29"/>
    <w:rsid w:val="00CE7C96"/>
    <w:rsid w:val="00CF244D"/>
    <w:rsid w:val="00CF4F36"/>
    <w:rsid w:val="00CF551C"/>
    <w:rsid w:val="00CF76C4"/>
    <w:rsid w:val="00CF788C"/>
    <w:rsid w:val="00D00198"/>
    <w:rsid w:val="00D0076D"/>
    <w:rsid w:val="00D165FC"/>
    <w:rsid w:val="00D2254D"/>
    <w:rsid w:val="00D271FF"/>
    <w:rsid w:val="00D31803"/>
    <w:rsid w:val="00D319E3"/>
    <w:rsid w:val="00D31E3D"/>
    <w:rsid w:val="00D4753A"/>
    <w:rsid w:val="00D53FCA"/>
    <w:rsid w:val="00D61D85"/>
    <w:rsid w:val="00D677DF"/>
    <w:rsid w:val="00D70C66"/>
    <w:rsid w:val="00D71D38"/>
    <w:rsid w:val="00D72146"/>
    <w:rsid w:val="00D725AC"/>
    <w:rsid w:val="00D75AD8"/>
    <w:rsid w:val="00D76533"/>
    <w:rsid w:val="00D81200"/>
    <w:rsid w:val="00D85885"/>
    <w:rsid w:val="00D8681B"/>
    <w:rsid w:val="00D90259"/>
    <w:rsid w:val="00D964E7"/>
    <w:rsid w:val="00D96591"/>
    <w:rsid w:val="00DA191C"/>
    <w:rsid w:val="00DB0AF6"/>
    <w:rsid w:val="00DB2EF4"/>
    <w:rsid w:val="00DB79B2"/>
    <w:rsid w:val="00DC0F8F"/>
    <w:rsid w:val="00DC2AC0"/>
    <w:rsid w:val="00DC5FAE"/>
    <w:rsid w:val="00DD03D3"/>
    <w:rsid w:val="00DD7A20"/>
    <w:rsid w:val="00DD7B36"/>
    <w:rsid w:val="00DE26CF"/>
    <w:rsid w:val="00DE4514"/>
    <w:rsid w:val="00DE4A7C"/>
    <w:rsid w:val="00DE62E0"/>
    <w:rsid w:val="00DF0CCE"/>
    <w:rsid w:val="00DF4BF4"/>
    <w:rsid w:val="00DF62A4"/>
    <w:rsid w:val="00E017CB"/>
    <w:rsid w:val="00E040BD"/>
    <w:rsid w:val="00E14ABA"/>
    <w:rsid w:val="00E16534"/>
    <w:rsid w:val="00E214E7"/>
    <w:rsid w:val="00E25AC7"/>
    <w:rsid w:val="00E25D92"/>
    <w:rsid w:val="00E32AA8"/>
    <w:rsid w:val="00E35A58"/>
    <w:rsid w:val="00E3663B"/>
    <w:rsid w:val="00E5545D"/>
    <w:rsid w:val="00E55630"/>
    <w:rsid w:val="00E55AE1"/>
    <w:rsid w:val="00E60AC3"/>
    <w:rsid w:val="00E615EB"/>
    <w:rsid w:val="00E64976"/>
    <w:rsid w:val="00E6729A"/>
    <w:rsid w:val="00E7145F"/>
    <w:rsid w:val="00E71470"/>
    <w:rsid w:val="00E85C86"/>
    <w:rsid w:val="00E9735F"/>
    <w:rsid w:val="00EA217B"/>
    <w:rsid w:val="00EA6B83"/>
    <w:rsid w:val="00EB2E80"/>
    <w:rsid w:val="00EB39A7"/>
    <w:rsid w:val="00EC35CF"/>
    <w:rsid w:val="00EC6C2F"/>
    <w:rsid w:val="00ED06D3"/>
    <w:rsid w:val="00ED4286"/>
    <w:rsid w:val="00ED4CE8"/>
    <w:rsid w:val="00ED60D5"/>
    <w:rsid w:val="00ED7851"/>
    <w:rsid w:val="00EE117B"/>
    <w:rsid w:val="00EE1F2F"/>
    <w:rsid w:val="00EE3036"/>
    <w:rsid w:val="00EE5DA4"/>
    <w:rsid w:val="00EF1D25"/>
    <w:rsid w:val="00F02042"/>
    <w:rsid w:val="00F042DA"/>
    <w:rsid w:val="00F10A03"/>
    <w:rsid w:val="00F1279B"/>
    <w:rsid w:val="00F12B0F"/>
    <w:rsid w:val="00F174B2"/>
    <w:rsid w:val="00F40F25"/>
    <w:rsid w:val="00F42F1C"/>
    <w:rsid w:val="00F43F8B"/>
    <w:rsid w:val="00F4601E"/>
    <w:rsid w:val="00F46472"/>
    <w:rsid w:val="00F473C0"/>
    <w:rsid w:val="00F51685"/>
    <w:rsid w:val="00F52486"/>
    <w:rsid w:val="00F56239"/>
    <w:rsid w:val="00F60AB7"/>
    <w:rsid w:val="00F61BCB"/>
    <w:rsid w:val="00F658DB"/>
    <w:rsid w:val="00F71BA2"/>
    <w:rsid w:val="00F72E9E"/>
    <w:rsid w:val="00F7308E"/>
    <w:rsid w:val="00F73FCB"/>
    <w:rsid w:val="00F83800"/>
    <w:rsid w:val="00F84B78"/>
    <w:rsid w:val="00F927B0"/>
    <w:rsid w:val="00F9643C"/>
    <w:rsid w:val="00FA45AA"/>
    <w:rsid w:val="00FA4F33"/>
    <w:rsid w:val="00FA6854"/>
    <w:rsid w:val="00FB52C3"/>
    <w:rsid w:val="00FC1CD3"/>
    <w:rsid w:val="00FC249F"/>
    <w:rsid w:val="00FC4448"/>
    <w:rsid w:val="00FD000E"/>
    <w:rsid w:val="00FE518D"/>
    <w:rsid w:val="00FE5EC4"/>
    <w:rsid w:val="00FE5F13"/>
    <w:rsid w:val="00FE669A"/>
    <w:rsid w:val="00FF10DA"/>
    <w:rsid w:val="00FF448F"/>
    <w:rsid w:val="00FF6DF3"/>
    <w:rsid w:val="00FF74B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113"/>
    <w:pPr>
      <w:spacing w:after="200" w:line="276"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rsid w:val="00452ADD"/>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apple-tab-span">
    <w:name w:val="apple-tab-span"/>
    <w:uiPriority w:val="99"/>
    <w:rsid w:val="00452ADD"/>
    <w:rPr>
      <w:rFonts w:cs="Times New Roman"/>
    </w:rPr>
  </w:style>
  <w:style w:type="character" w:styleId="Hyperlink">
    <w:name w:val="Hyperlink"/>
    <w:uiPriority w:val="99"/>
    <w:rsid w:val="00452ADD"/>
    <w:rPr>
      <w:rFonts w:cs="Times New Roman"/>
      <w:color w:val="0000FF"/>
      <w:u w:val="single"/>
    </w:rPr>
  </w:style>
  <w:style w:type="character" w:customStyle="1" w:styleId="hps">
    <w:name w:val="hps"/>
    <w:uiPriority w:val="99"/>
    <w:rsid w:val="00BE2D8D"/>
    <w:rPr>
      <w:rFonts w:cs="Times New Roman"/>
    </w:rPr>
  </w:style>
  <w:style w:type="character" w:customStyle="1" w:styleId="apple-converted-space">
    <w:name w:val="apple-converted-space"/>
    <w:uiPriority w:val="99"/>
    <w:rsid w:val="00BE2D8D"/>
    <w:rPr>
      <w:rFonts w:cs="Times New Roman"/>
    </w:rPr>
  </w:style>
  <w:style w:type="paragraph" w:styleId="Textodenotaderodap">
    <w:name w:val="footnote text"/>
    <w:basedOn w:val="Normal"/>
    <w:link w:val="TextodenotaderodapChar"/>
    <w:uiPriority w:val="99"/>
    <w:semiHidden/>
    <w:rsid w:val="004A18B5"/>
    <w:pPr>
      <w:spacing w:after="0" w:line="240" w:lineRule="auto"/>
    </w:pPr>
    <w:rPr>
      <w:sz w:val="20"/>
      <w:szCs w:val="20"/>
    </w:rPr>
  </w:style>
  <w:style w:type="character" w:customStyle="1" w:styleId="TextodenotaderodapChar">
    <w:name w:val="Texto de nota de rodapé Char"/>
    <w:link w:val="Textodenotaderodap"/>
    <w:uiPriority w:val="99"/>
    <w:semiHidden/>
    <w:locked/>
    <w:rsid w:val="004A18B5"/>
    <w:rPr>
      <w:rFonts w:cs="Times New Roman"/>
      <w:sz w:val="20"/>
      <w:szCs w:val="20"/>
    </w:rPr>
  </w:style>
  <w:style w:type="character" w:styleId="Refdenotaderodap">
    <w:name w:val="footnote reference"/>
    <w:uiPriority w:val="99"/>
    <w:semiHidden/>
    <w:rsid w:val="004A18B5"/>
    <w:rPr>
      <w:rFonts w:cs="Times New Roman"/>
      <w:vertAlign w:val="superscript"/>
    </w:rPr>
  </w:style>
  <w:style w:type="table" w:styleId="Tabelacomgrade">
    <w:name w:val="Table Grid"/>
    <w:basedOn w:val="Tabelanormal"/>
    <w:uiPriority w:val="99"/>
    <w:rsid w:val="007B63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iPriority w:val="99"/>
    <w:semiHidden/>
    <w:rsid w:val="00D72146"/>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locked/>
    <w:rsid w:val="00D72146"/>
    <w:rPr>
      <w:rFonts w:ascii="Tahoma" w:hAnsi="Tahoma" w:cs="Tahoma"/>
      <w:sz w:val="16"/>
      <w:szCs w:val="16"/>
    </w:rPr>
  </w:style>
  <w:style w:type="paragraph" w:styleId="SemEspaamento">
    <w:name w:val="No Spacing"/>
    <w:uiPriority w:val="99"/>
    <w:qFormat/>
    <w:rsid w:val="0070121B"/>
    <w:rPr>
      <w:sz w:val="22"/>
      <w:szCs w:val="22"/>
      <w:lang w:eastAsia="en-US"/>
    </w:rPr>
  </w:style>
  <w:style w:type="character" w:customStyle="1" w:styleId="il">
    <w:name w:val="il"/>
    <w:uiPriority w:val="99"/>
    <w:rsid w:val="00EE117B"/>
    <w:rPr>
      <w:rFonts w:cs="Times New Roman"/>
    </w:rPr>
  </w:style>
  <w:style w:type="paragraph" w:styleId="Cabealho">
    <w:name w:val="header"/>
    <w:basedOn w:val="Normal"/>
    <w:link w:val="CabealhoChar"/>
    <w:uiPriority w:val="99"/>
    <w:rsid w:val="003F0AB9"/>
    <w:pPr>
      <w:tabs>
        <w:tab w:val="center" w:pos="4252"/>
        <w:tab w:val="right" w:pos="8504"/>
      </w:tabs>
      <w:spacing w:after="0" w:line="240" w:lineRule="auto"/>
    </w:pPr>
  </w:style>
  <w:style w:type="character" w:customStyle="1" w:styleId="CabealhoChar">
    <w:name w:val="Cabeçalho Char"/>
    <w:link w:val="Cabealho"/>
    <w:uiPriority w:val="99"/>
    <w:locked/>
    <w:rsid w:val="003F0AB9"/>
    <w:rPr>
      <w:rFonts w:cs="Times New Roman"/>
    </w:rPr>
  </w:style>
  <w:style w:type="paragraph" w:styleId="Rodap">
    <w:name w:val="footer"/>
    <w:basedOn w:val="Normal"/>
    <w:link w:val="RodapChar"/>
    <w:uiPriority w:val="99"/>
    <w:rsid w:val="003F0AB9"/>
    <w:pPr>
      <w:tabs>
        <w:tab w:val="center" w:pos="4252"/>
        <w:tab w:val="right" w:pos="8504"/>
      </w:tabs>
      <w:spacing w:after="0" w:line="240" w:lineRule="auto"/>
    </w:pPr>
  </w:style>
  <w:style w:type="character" w:customStyle="1" w:styleId="RodapChar">
    <w:name w:val="Rodapé Char"/>
    <w:link w:val="Rodap"/>
    <w:uiPriority w:val="99"/>
    <w:locked/>
    <w:rsid w:val="003F0AB9"/>
    <w:rPr>
      <w:rFonts w:cs="Times New Roman"/>
    </w:rPr>
  </w:style>
  <w:style w:type="character" w:styleId="Forte">
    <w:name w:val="Strong"/>
    <w:uiPriority w:val="99"/>
    <w:qFormat/>
    <w:rsid w:val="00007BFD"/>
    <w:rPr>
      <w:rFonts w:cs="Times New Roman"/>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9151371">
      <w:marLeft w:val="0"/>
      <w:marRight w:val="0"/>
      <w:marTop w:val="0"/>
      <w:marBottom w:val="0"/>
      <w:divBdr>
        <w:top w:val="none" w:sz="0" w:space="0" w:color="auto"/>
        <w:left w:val="none" w:sz="0" w:space="0" w:color="auto"/>
        <w:bottom w:val="none" w:sz="0" w:space="0" w:color="auto"/>
        <w:right w:val="none" w:sz="0" w:space="0" w:color="auto"/>
      </w:divBdr>
      <w:divsChild>
        <w:div w:id="1569151401">
          <w:marLeft w:val="0"/>
          <w:marRight w:val="0"/>
          <w:marTop w:val="0"/>
          <w:marBottom w:val="0"/>
          <w:divBdr>
            <w:top w:val="none" w:sz="0" w:space="0" w:color="auto"/>
            <w:left w:val="none" w:sz="0" w:space="0" w:color="auto"/>
            <w:bottom w:val="none" w:sz="0" w:space="0" w:color="auto"/>
            <w:right w:val="none" w:sz="0" w:space="0" w:color="auto"/>
          </w:divBdr>
        </w:div>
      </w:divsChild>
    </w:div>
    <w:div w:id="1569151372">
      <w:marLeft w:val="0"/>
      <w:marRight w:val="0"/>
      <w:marTop w:val="0"/>
      <w:marBottom w:val="0"/>
      <w:divBdr>
        <w:top w:val="none" w:sz="0" w:space="0" w:color="auto"/>
        <w:left w:val="none" w:sz="0" w:space="0" w:color="auto"/>
        <w:bottom w:val="none" w:sz="0" w:space="0" w:color="auto"/>
        <w:right w:val="none" w:sz="0" w:space="0" w:color="auto"/>
      </w:divBdr>
    </w:div>
    <w:div w:id="1569151373">
      <w:marLeft w:val="0"/>
      <w:marRight w:val="0"/>
      <w:marTop w:val="0"/>
      <w:marBottom w:val="0"/>
      <w:divBdr>
        <w:top w:val="none" w:sz="0" w:space="0" w:color="auto"/>
        <w:left w:val="none" w:sz="0" w:space="0" w:color="auto"/>
        <w:bottom w:val="none" w:sz="0" w:space="0" w:color="auto"/>
        <w:right w:val="none" w:sz="0" w:space="0" w:color="auto"/>
      </w:divBdr>
    </w:div>
    <w:div w:id="1569151374">
      <w:marLeft w:val="0"/>
      <w:marRight w:val="0"/>
      <w:marTop w:val="0"/>
      <w:marBottom w:val="0"/>
      <w:divBdr>
        <w:top w:val="none" w:sz="0" w:space="0" w:color="auto"/>
        <w:left w:val="none" w:sz="0" w:space="0" w:color="auto"/>
        <w:bottom w:val="none" w:sz="0" w:space="0" w:color="auto"/>
        <w:right w:val="none" w:sz="0" w:space="0" w:color="auto"/>
      </w:divBdr>
    </w:div>
    <w:div w:id="1569151375">
      <w:marLeft w:val="0"/>
      <w:marRight w:val="0"/>
      <w:marTop w:val="0"/>
      <w:marBottom w:val="0"/>
      <w:divBdr>
        <w:top w:val="none" w:sz="0" w:space="0" w:color="auto"/>
        <w:left w:val="none" w:sz="0" w:space="0" w:color="auto"/>
        <w:bottom w:val="none" w:sz="0" w:space="0" w:color="auto"/>
        <w:right w:val="none" w:sz="0" w:space="0" w:color="auto"/>
      </w:divBdr>
    </w:div>
    <w:div w:id="1569151376">
      <w:marLeft w:val="0"/>
      <w:marRight w:val="0"/>
      <w:marTop w:val="0"/>
      <w:marBottom w:val="0"/>
      <w:divBdr>
        <w:top w:val="none" w:sz="0" w:space="0" w:color="auto"/>
        <w:left w:val="none" w:sz="0" w:space="0" w:color="auto"/>
        <w:bottom w:val="none" w:sz="0" w:space="0" w:color="auto"/>
        <w:right w:val="none" w:sz="0" w:space="0" w:color="auto"/>
      </w:divBdr>
    </w:div>
    <w:div w:id="1569151377">
      <w:marLeft w:val="0"/>
      <w:marRight w:val="0"/>
      <w:marTop w:val="0"/>
      <w:marBottom w:val="0"/>
      <w:divBdr>
        <w:top w:val="none" w:sz="0" w:space="0" w:color="auto"/>
        <w:left w:val="none" w:sz="0" w:space="0" w:color="auto"/>
        <w:bottom w:val="none" w:sz="0" w:space="0" w:color="auto"/>
        <w:right w:val="none" w:sz="0" w:space="0" w:color="auto"/>
      </w:divBdr>
    </w:div>
    <w:div w:id="1569151378">
      <w:marLeft w:val="0"/>
      <w:marRight w:val="0"/>
      <w:marTop w:val="0"/>
      <w:marBottom w:val="0"/>
      <w:divBdr>
        <w:top w:val="none" w:sz="0" w:space="0" w:color="auto"/>
        <w:left w:val="none" w:sz="0" w:space="0" w:color="auto"/>
        <w:bottom w:val="none" w:sz="0" w:space="0" w:color="auto"/>
        <w:right w:val="none" w:sz="0" w:space="0" w:color="auto"/>
      </w:divBdr>
      <w:divsChild>
        <w:div w:id="1569151383">
          <w:marLeft w:val="0"/>
          <w:marRight w:val="0"/>
          <w:marTop w:val="0"/>
          <w:marBottom w:val="0"/>
          <w:divBdr>
            <w:top w:val="none" w:sz="0" w:space="0" w:color="auto"/>
            <w:left w:val="none" w:sz="0" w:space="0" w:color="auto"/>
            <w:bottom w:val="none" w:sz="0" w:space="0" w:color="auto"/>
            <w:right w:val="none" w:sz="0" w:space="0" w:color="auto"/>
          </w:divBdr>
        </w:div>
        <w:div w:id="1569151385">
          <w:marLeft w:val="0"/>
          <w:marRight w:val="0"/>
          <w:marTop w:val="0"/>
          <w:marBottom w:val="0"/>
          <w:divBdr>
            <w:top w:val="none" w:sz="0" w:space="0" w:color="auto"/>
            <w:left w:val="none" w:sz="0" w:space="0" w:color="auto"/>
            <w:bottom w:val="none" w:sz="0" w:space="0" w:color="auto"/>
            <w:right w:val="none" w:sz="0" w:space="0" w:color="auto"/>
          </w:divBdr>
        </w:div>
        <w:div w:id="1569151390">
          <w:marLeft w:val="0"/>
          <w:marRight w:val="0"/>
          <w:marTop w:val="0"/>
          <w:marBottom w:val="0"/>
          <w:divBdr>
            <w:top w:val="none" w:sz="0" w:space="0" w:color="auto"/>
            <w:left w:val="none" w:sz="0" w:space="0" w:color="auto"/>
            <w:bottom w:val="none" w:sz="0" w:space="0" w:color="auto"/>
            <w:right w:val="none" w:sz="0" w:space="0" w:color="auto"/>
          </w:divBdr>
        </w:div>
        <w:div w:id="1569151395">
          <w:marLeft w:val="0"/>
          <w:marRight w:val="0"/>
          <w:marTop w:val="0"/>
          <w:marBottom w:val="0"/>
          <w:divBdr>
            <w:top w:val="none" w:sz="0" w:space="0" w:color="auto"/>
            <w:left w:val="none" w:sz="0" w:space="0" w:color="auto"/>
            <w:bottom w:val="none" w:sz="0" w:space="0" w:color="auto"/>
            <w:right w:val="none" w:sz="0" w:space="0" w:color="auto"/>
          </w:divBdr>
        </w:div>
        <w:div w:id="1569151399">
          <w:marLeft w:val="0"/>
          <w:marRight w:val="0"/>
          <w:marTop w:val="0"/>
          <w:marBottom w:val="0"/>
          <w:divBdr>
            <w:top w:val="none" w:sz="0" w:space="0" w:color="auto"/>
            <w:left w:val="none" w:sz="0" w:space="0" w:color="auto"/>
            <w:bottom w:val="none" w:sz="0" w:space="0" w:color="auto"/>
            <w:right w:val="none" w:sz="0" w:space="0" w:color="auto"/>
          </w:divBdr>
        </w:div>
      </w:divsChild>
    </w:div>
    <w:div w:id="1569151379">
      <w:marLeft w:val="0"/>
      <w:marRight w:val="0"/>
      <w:marTop w:val="0"/>
      <w:marBottom w:val="0"/>
      <w:divBdr>
        <w:top w:val="none" w:sz="0" w:space="0" w:color="auto"/>
        <w:left w:val="none" w:sz="0" w:space="0" w:color="auto"/>
        <w:bottom w:val="none" w:sz="0" w:space="0" w:color="auto"/>
        <w:right w:val="none" w:sz="0" w:space="0" w:color="auto"/>
      </w:divBdr>
    </w:div>
    <w:div w:id="1569151380">
      <w:marLeft w:val="0"/>
      <w:marRight w:val="0"/>
      <w:marTop w:val="0"/>
      <w:marBottom w:val="0"/>
      <w:divBdr>
        <w:top w:val="none" w:sz="0" w:space="0" w:color="auto"/>
        <w:left w:val="none" w:sz="0" w:space="0" w:color="auto"/>
        <w:bottom w:val="none" w:sz="0" w:space="0" w:color="auto"/>
        <w:right w:val="none" w:sz="0" w:space="0" w:color="auto"/>
      </w:divBdr>
    </w:div>
    <w:div w:id="1569151381">
      <w:marLeft w:val="0"/>
      <w:marRight w:val="0"/>
      <w:marTop w:val="0"/>
      <w:marBottom w:val="0"/>
      <w:divBdr>
        <w:top w:val="none" w:sz="0" w:space="0" w:color="auto"/>
        <w:left w:val="none" w:sz="0" w:space="0" w:color="auto"/>
        <w:bottom w:val="none" w:sz="0" w:space="0" w:color="auto"/>
        <w:right w:val="none" w:sz="0" w:space="0" w:color="auto"/>
      </w:divBdr>
    </w:div>
    <w:div w:id="1569151382">
      <w:marLeft w:val="0"/>
      <w:marRight w:val="0"/>
      <w:marTop w:val="0"/>
      <w:marBottom w:val="0"/>
      <w:divBdr>
        <w:top w:val="none" w:sz="0" w:space="0" w:color="auto"/>
        <w:left w:val="none" w:sz="0" w:space="0" w:color="auto"/>
        <w:bottom w:val="none" w:sz="0" w:space="0" w:color="auto"/>
        <w:right w:val="none" w:sz="0" w:space="0" w:color="auto"/>
      </w:divBdr>
    </w:div>
    <w:div w:id="1569151384">
      <w:marLeft w:val="0"/>
      <w:marRight w:val="0"/>
      <w:marTop w:val="0"/>
      <w:marBottom w:val="0"/>
      <w:divBdr>
        <w:top w:val="none" w:sz="0" w:space="0" w:color="auto"/>
        <w:left w:val="none" w:sz="0" w:space="0" w:color="auto"/>
        <w:bottom w:val="none" w:sz="0" w:space="0" w:color="auto"/>
        <w:right w:val="none" w:sz="0" w:space="0" w:color="auto"/>
      </w:divBdr>
    </w:div>
    <w:div w:id="1569151386">
      <w:marLeft w:val="0"/>
      <w:marRight w:val="0"/>
      <w:marTop w:val="0"/>
      <w:marBottom w:val="0"/>
      <w:divBdr>
        <w:top w:val="none" w:sz="0" w:space="0" w:color="auto"/>
        <w:left w:val="none" w:sz="0" w:space="0" w:color="auto"/>
        <w:bottom w:val="none" w:sz="0" w:space="0" w:color="auto"/>
        <w:right w:val="none" w:sz="0" w:space="0" w:color="auto"/>
      </w:divBdr>
    </w:div>
    <w:div w:id="1569151387">
      <w:marLeft w:val="0"/>
      <w:marRight w:val="0"/>
      <w:marTop w:val="0"/>
      <w:marBottom w:val="0"/>
      <w:divBdr>
        <w:top w:val="none" w:sz="0" w:space="0" w:color="auto"/>
        <w:left w:val="none" w:sz="0" w:space="0" w:color="auto"/>
        <w:bottom w:val="none" w:sz="0" w:space="0" w:color="auto"/>
        <w:right w:val="none" w:sz="0" w:space="0" w:color="auto"/>
      </w:divBdr>
    </w:div>
    <w:div w:id="1569151388">
      <w:marLeft w:val="0"/>
      <w:marRight w:val="0"/>
      <w:marTop w:val="0"/>
      <w:marBottom w:val="0"/>
      <w:divBdr>
        <w:top w:val="none" w:sz="0" w:space="0" w:color="auto"/>
        <w:left w:val="none" w:sz="0" w:space="0" w:color="auto"/>
        <w:bottom w:val="none" w:sz="0" w:space="0" w:color="auto"/>
        <w:right w:val="none" w:sz="0" w:space="0" w:color="auto"/>
      </w:divBdr>
    </w:div>
    <w:div w:id="1569151389">
      <w:marLeft w:val="0"/>
      <w:marRight w:val="0"/>
      <w:marTop w:val="0"/>
      <w:marBottom w:val="0"/>
      <w:divBdr>
        <w:top w:val="none" w:sz="0" w:space="0" w:color="auto"/>
        <w:left w:val="none" w:sz="0" w:space="0" w:color="auto"/>
        <w:bottom w:val="none" w:sz="0" w:space="0" w:color="auto"/>
        <w:right w:val="none" w:sz="0" w:space="0" w:color="auto"/>
      </w:divBdr>
    </w:div>
    <w:div w:id="1569151391">
      <w:marLeft w:val="0"/>
      <w:marRight w:val="0"/>
      <w:marTop w:val="0"/>
      <w:marBottom w:val="0"/>
      <w:divBdr>
        <w:top w:val="none" w:sz="0" w:space="0" w:color="auto"/>
        <w:left w:val="none" w:sz="0" w:space="0" w:color="auto"/>
        <w:bottom w:val="none" w:sz="0" w:space="0" w:color="auto"/>
        <w:right w:val="none" w:sz="0" w:space="0" w:color="auto"/>
      </w:divBdr>
    </w:div>
    <w:div w:id="1569151392">
      <w:marLeft w:val="0"/>
      <w:marRight w:val="0"/>
      <w:marTop w:val="0"/>
      <w:marBottom w:val="0"/>
      <w:divBdr>
        <w:top w:val="none" w:sz="0" w:space="0" w:color="auto"/>
        <w:left w:val="none" w:sz="0" w:space="0" w:color="auto"/>
        <w:bottom w:val="none" w:sz="0" w:space="0" w:color="auto"/>
        <w:right w:val="none" w:sz="0" w:space="0" w:color="auto"/>
      </w:divBdr>
    </w:div>
    <w:div w:id="1569151393">
      <w:marLeft w:val="0"/>
      <w:marRight w:val="0"/>
      <w:marTop w:val="0"/>
      <w:marBottom w:val="0"/>
      <w:divBdr>
        <w:top w:val="none" w:sz="0" w:space="0" w:color="auto"/>
        <w:left w:val="none" w:sz="0" w:space="0" w:color="auto"/>
        <w:bottom w:val="none" w:sz="0" w:space="0" w:color="auto"/>
        <w:right w:val="none" w:sz="0" w:space="0" w:color="auto"/>
      </w:divBdr>
    </w:div>
    <w:div w:id="1569151394">
      <w:marLeft w:val="0"/>
      <w:marRight w:val="0"/>
      <w:marTop w:val="0"/>
      <w:marBottom w:val="0"/>
      <w:divBdr>
        <w:top w:val="none" w:sz="0" w:space="0" w:color="auto"/>
        <w:left w:val="none" w:sz="0" w:space="0" w:color="auto"/>
        <w:bottom w:val="none" w:sz="0" w:space="0" w:color="auto"/>
        <w:right w:val="none" w:sz="0" w:space="0" w:color="auto"/>
      </w:divBdr>
    </w:div>
    <w:div w:id="1569151396">
      <w:marLeft w:val="0"/>
      <w:marRight w:val="0"/>
      <w:marTop w:val="0"/>
      <w:marBottom w:val="0"/>
      <w:divBdr>
        <w:top w:val="none" w:sz="0" w:space="0" w:color="auto"/>
        <w:left w:val="none" w:sz="0" w:space="0" w:color="auto"/>
        <w:bottom w:val="none" w:sz="0" w:space="0" w:color="auto"/>
        <w:right w:val="none" w:sz="0" w:space="0" w:color="auto"/>
      </w:divBdr>
    </w:div>
    <w:div w:id="1569151397">
      <w:marLeft w:val="0"/>
      <w:marRight w:val="0"/>
      <w:marTop w:val="0"/>
      <w:marBottom w:val="0"/>
      <w:divBdr>
        <w:top w:val="none" w:sz="0" w:space="0" w:color="auto"/>
        <w:left w:val="none" w:sz="0" w:space="0" w:color="auto"/>
        <w:bottom w:val="none" w:sz="0" w:space="0" w:color="auto"/>
        <w:right w:val="none" w:sz="0" w:space="0" w:color="auto"/>
      </w:divBdr>
    </w:div>
    <w:div w:id="1569151398">
      <w:marLeft w:val="0"/>
      <w:marRight w:val="0"/>
      <w:marTop w:val="0"/>
      <w:marBottom w:val="0"/>
      <w:divBdr>
        <w:top w:val="none" w:sz="0" w:space="0" w:color="auto"/>
        <w:left w:val="none" w:sz="0" w:space="0" w:color="auto"/>
        <w:bottom w:val="none" w:sz="0" w:space="0" w:color="auto"/>
        <w:right w:val="none" w:sz="0" w:space="0" w:color="auto"/>
      </w:divBdr>
    </w:div>
    <w:div w:id="156915140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sc.gov.br/sdr"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hdr.undp.org/en/media/HDR_2010_PT_Chapter1_reprint.pdf"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portal2.tcu.gov.br/portal/pls/portal/docs/2054998.PDF"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ibge.gov.br" TargetMode="External"/><Relationship Id="rId5" Type="http://schemas.openxmlformats.org/officeDocument/2006/relationships/footnotes" Target="footnotes.xml"/><Relationship Id="rId15" Type="http://schemas.openxmlformats.org/officeDocument/2006/relationships/hyperlink" Target="http://www.tce.sc.gov.br" TargetMode="External"/><Relationship Id="rId10" Type="http://schemas.openxmlformats.org/officeDocument/2006/relationships/hyperlink" Target="http://siaibib01.univali.br/pdf/Magnus%20Bliesner.pdf" TargetMode="External"/><Relationship Id="rId4" Type="http://schemas.openxmlformats.org/officeDocument/2006/relationships/webSettings" Target="webSettings.xml"/><Relationship Id="rId9" Type="http://schemas.openxmlformats.org/officeDocument/2006/relationships/hyperlink" Target="http://www.planalto.gov.br/ccivil_03/leis/LCP/Lcp141.htm" TargetMode="External"/><Relationship Id="rId14" Type="http://schemas.openxmlformats.org/officeDocument/2006/relationships/hyperlink" Target="http://www.sc.gov.br/conteudo/governo/regionais/itajai.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17</Pages>
  <Words>5753</Words>
  <Characters>31068</Characters>
  <Application>Microsoft Office Word</Application>
  <DocSecurity>0</DocSecurity>
  <Lines>258</Lines>
  <Paragraphs>73</Paragraphs>
  <ScaleCrop>false</ScaleCrop>
  <Company/>
  <LinksUpToDate>false</LinksUpToDate>
  <CharactersWithSpaces>36748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INDICADORES FINANCEIROS DA SAÚDE PÚBLICA: UM ESTUDO PARA MUNICÍPIOS SELECIONADOS DA SDR DE ITAJAÍ</dc:title>
  <dc:subject/>
  <dc:creator>Ivoneti</dc:creator>
  <cp:keywords/>
  <dc:description/>
  <cp:lastModifiedBy>usuario</cp:lastModifiedBy>
  <cp:revision>9</cp:revision>
  <dcterms:created xsi:type="dcterms:W3CDTF">2012-04-23T00:23:00Z</dcterms:created>
  <dcterms:modified xsi:type="dcterms:W3CDTF">2012-08-31T23:02:00Z</dcterms:modified>
</cp:coreProperties>
</file>