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9"/>
        </w:rPr>
      </w:pPr>
    </w:p>
    <w:p>
      <w:pPr>
        <w:pStyle w:val="Title"/>
        <w:spacing w:before="92"/>
      </w:pPr>
      <w:r>
        <w:rPr/>
        <w:t>FORMAÇÃO</w:t>
      </w:r>
      <w:r>
        <w:rPr>
          <w:spacing w:val="28"/>
        </w:rPr>
        <w:t> </w:t>
      </w:r>
      <w:r>
        <w:rPr/>
        <w:t>CONTINUADA</w:t>
      </w:r>
      <w:r>
        <w:rPr>
          <w:spacing w:val="29"/>
        </w:rPr>
        <w:t> </w:t>
      </w:r>
      <w:r>
        <w:rPr>
          <w:spacing w:val="-2"/>
        </w:rPr>
        <w:t>DOCENTE</w:t>
      </w:r>
    </w:p>
    <w:p>
      <w:pPr>
        <w:pStyle w:val="Title"/>
      </w:pPr>
      <w:r>
        <w:rPr/>
        <w:t>Inovações</w:t>
      </w:r>
      <w:r>
        <w:rPr>
          <w:spacing w:val="18"/>
        </w:rPr>
        <w:t> </w:t>
      </w:r>
      <w:r>
        <w:rPr/>
        <w:t>Disruptivas</w:t>
      </w:r>
      <w:r>
        <w:rPr>
          <w:spacing w:val="17"/>
        </w:rPr>
        <w:t> </w:t>
      </w:r>
      <w:r>
        <w:rPr/>
        <w:t>para</w:t>
      </w:r>
      <w:r>
        <w:rPr>
          <w:spacing w:val="12"/>
        </w:rPr>
        <w:t> </w:t>
      </w:r>
      <w:r>
        <w:rPr/>
        <w:t>o</w:t>
      </w:r>
      <w:r>
        <w:rPr>
          <w:spacing w:val="13"/>
        </w:rPr>
        <w:t> </w:t>
      </w:r>
      <w:r>
        <w:rPr/>
        <w:t>ensino</w:t>
      </w:r>
      <w:r>
        <w:rPr>
          <w:spacing w:val="17"/>
        </w:rPr>
        <w:t> </w:t>
      </w:r>
      <w:r>
        <w:rPr/>
        <w:t>de</w:t>
      </w:r>
      <w:r>
        <w:rPr>
          <w:spacing w:val="12"/>
        </w:rPr>
        <w:t> </w:t>
      </w:r>
      <w:r>
        <w:rPr>
          <w:spacing w:val="-2"/>
        </w:rPr>
        <w:t>Administração</w:t>
      </w:r>
    </w:p>
    <w:p>
      <w:pPr>
        <w:pStyle w:val="BodyText"/>
        <w:rPr>
          <w:b/>
          <w:sz w:val="20"/>
        </w:rPr>
      </w:pPr>
    </w:p>
    <w:p>
      <w:pPr>
        <w:spacing w:line="302" w:lineRule="auto" w:before="248"/>
        <w:ind w:left="6499" w:right="6496" w:firstLine="0"/>
        <w:jc w:val="center"/>
        <w:rPr>
          <w:sz w:val="37"/>
        </w:rPr>
      </w:pPr>
      <w:r>
        <w:rPr>
          <w:sz w:val="37"/>
        </w:rPr>
        <w:t>Octavio</w:t>
      </w:r>
      <w:r>
        <w:rPr>
          <w:spacing w:val="-1"/>
          <w:sz w:val="37"/>
        </w:rPr>
        <w:t> </w:t>
      </w:r>
      <w:r>
        <w:rPr>
          <w:sz w:val="37"/>
        </w:rPr>
        <w:t>René Lebarbenchon </w:t>
      </w:r>
      <w:r>
        <w:rPr>
          <w:sz w:val="37"/>
        </w:rPr>
        <w:t>Neto </w:t>
      </w:r>
      <w:hyperlink r:id="rId5">
        <w:r>
          <w:rPr>
            <w:spacing w:val="-2"/>
            <w:sz w:val="37"/>
          </w:rPr>
          <w:t>dae.esag@udesc.br</w:t>
        </w:r>
      </w:hyperlink>
      <w:r>
        <w:rPr>
          <w:spacing w:val="-2"/>
          <w:sz w:val="37"/>
        </w:rPr>
        <w:t> UDESC/ESAG/DAE</w:t>
      </w:r>
    </w:p>
    <w:p>
      <w:pPr>
        <w:pStyle w:val="BodyText"/>
        <w:spacing w:before="3"/>
      </w:pPr>
    </w:p>
    <w:p>
      <w:pPr>
        <w:pStyle w:val="Heading1"/>
        <w:spacing w:before="94"/>
      </w:pPr>
      <w:r>
        <w:rPr>
          <w:spacing w:val="-2"/>
        </w:rPr>
        <w:t>INTRODUÇÃO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249" w:lineRule="auto" w:before="91"/>
        <w:ind w:left="108" w:right="104"/>
        <w:jc w:val="both"/>
      </w:pPr>
      <w:r>
        <w:rPr/>
        <w:t>A formação continuada docente é amplamente discutida nas agendas educacionais, voltada ao desenvolvimento profissional ao longo da carreira. Deve incentivar a prática reflexiva, contribuindo para a profissionalização e emancipação do professor, que precisa explicar conscientemente sua prática e avaliar se suas decisões favorecem a aprendizagem do aluno. Estudos em neurociência mostram que nem sempre aprendemos como somos ensinados, tornando essencial reavaliar o processo educativo. Assim, inovações disruptivas, que rompem paradigmas sobre o que e quem pode ensinar, tornam-se inevitáveis: aprendizagem baseada em projetos, design thinking, aprendizagem adaptativa, micro-aprendizagem e gamificação. Este projeto oferece aos professores um espaço para aperfeiçoar estratégias de ensino, beneficiando indiretamente os discentes. Sua relevância está em promover o desenvolvimento do docente, articular saberes teóricos e práticos numa reflexão contextualizada, e reconhecer que, embora não seja a única responsável pela qualidade do ensino, a formação do professor é a mais importante, pois essa aprendizagem só se consolida na prática.</w:t>
      </w:r>
    </w:p>
    <w:p>
      <w:pPr>
        <w:pStyle w:val="BodyText"/>
        <w:rPr>
          <w:sz w:val="27"/>
        </w:rPr>
      </w:pPr>
    </w:p>
    <w:p>
      <w:pPr>
        <w:pStyle w:val="Heading1"/>
        <w:tabs>
          <w:tab w:pos="10082" w:val="left" w:leader="none"/>
        </w:tabs>
      </w:pPr>
      <w:r>
        <w:rPr>
          <w:spacing w:val="-2"/>
          <w:position w:val="2"/>
        </w:rPr>
        <w:t>OBJETIVOS</w:t>
      </w:r>
      <w:r>
        <w:rPr>
          <w:position w:val="2"/>
        </w:rPr>
        <w:tab/>
      </w:r>
      <w:r>
        <w:rPr>
          <w:spacing w:val="-2"/>
        </w:rPr>
        <w:t>RESULTADOS</w:t>
      </w:r>
    </w:p>
    <w:p>
      <w:pPr>
        <w:pStyle w:val="BodyText"/>
        <w:spacing w:before="2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23750" w:h="31660"/>
          <w:pgMar w:top="3720" w:bottom="280" w:left="2560" w:right="2560"/>
        </w:sectPr>
      </w:pPr>
    </w:p>
    <w:p>
      <w:pPr>
        <w:pStyle w:val="BodyText"/>
        <w:spacing w:line="249" w:lineRule="auto" w:before="90"/>
        <w:ind w:left="108" w:right="38"/>
        <w:jc w:val="both"/>
      </w:pPr>
      <w:r>
        <w:rPr/>
        <w:t>O objetivo geral é contribuir para o aprimoramento do ensino- aprendizagem do curso de Administração por meio da formação continuada do corpo docente. Busca-se proporcionar aos professores acesso a metodologias inovadoras via cursos e ferramentas, possibilitando ações didático-pedagógicas inovadoras e estimulando experiências interdisciplinares. Apoiam-se ainda atividades da graduação, como a Jornada Acadêmica de Administração e eventos nacionais da área, além de se incentivar a creditação da extensão universitária.</w:t>
      </w:r>
    </w:p>
    <w:p>
      <w:pPr>
        <w:pStyle w:val="BodyText"/>
        <w:spacing w:line="249" w:lineRule="auto" w:before="109"/>
        <w:ind w:left="108" w:right="103"/>
        <w:jc w:val="both"/>
      </w:pPr>
      <w:r>
        <w:rPr/>
        <w:br w:type="column"/>
      </w:r>
      <w:r>
        <w:rPr/>
        <w:t>Com o desenvolvimento deste Projeto de Ensino, espera-se a melhoria da qualidade do ensino-aprendizagem, com a construção de uma cultura de interdisciplinaridade no curso, a atualização e complementação dos conteúdos das disciplinas, a melhoria do desempenho docente e discente, e a motivação de professores e alunos para a utilização de novas metodologias e tecnologias voltadas ao processo de ensino-aprendizagem, fortalecendo assim a formação acadêmica ao longo do curso.</w:t>
      </w:r>
    </w:p>
    <w:p>
      <w:pPr>
        <w:spacing w:after="0" w:line="249" w:lineRule="auto"/>
        <w:jc w:val="both"/>
        <w:sectPr>
          <w:type w:val="continuous"/>
          <w:pgSz w:w="23750" w:h="31660"/>
          <w:pgMar w:top="3720" w:bottom="280" w:left="2560" w:right="2560"/>
          <w:cols w:num="2" w:equalWidth="0">
            <w:col w:w="8585" w:space="1389"/>
            <w:col w:w="8656"/>
          </w:cols>
        </w:sectPr>
      </w:pPr>
    </w:p>
    <w:p>
      <w:pPr>
        <w:pStyle w:val="BodyText"/>
        <w:rPr>
          <w:sz w:val="27"/>
        </w:rPr>
      </w:pPr>
    </w:p>
    <w:p>
      <w:pPr>
        <w:pStyle w:val="Heading1"/>
        <w:tabs>
          <w:tab w:pos="10082" w:val="left" w:leader="none"/>
        </w:tabs>
      </w:pPr>
      <w:r>
        <w:rPr>
          <w:spacing w:val="-2"/>
          <w:position w:val="2"/>
        </w:rPr>
        <w:t>METODOLOGIA</w:t>
      </w:r>
      <w:r>
        <w:rPr>
          <w:position w:val="2"/>
        </w:rPr>
        <w:tab/>
      </w:r>
      <w:r>
        <w:rPr/>
        <w:t>CONSIDERAÇÕES</w:t>
      </w:r>
      <w:r>
        <w:rPr>
          <w:spacing w:val="29"/>
        </w:rPr>
        <w:t> </w:t>
      </w:r>
      <w:r>
        <w:rPr>
          <w:spacing w:val="-2"/>
        </w:rPr>
        <w:t>FINAIS</w:t>
      </w:r>
    </w:p>
    <w:p>
      <w:pPr>
        <w:pStyle w:val="BodyText"/>
        <w:spacing w:before="11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23750" w:h="31660"/>
          <w:pgMar w:top="3720" w:bottom="280" w:left="2560" w:right="2560"/>
        </w:sectPr>
      </w:pPr>
    </w:p>
    <w:p>
      <w:pPr>
        <w:pStyle w:val="BodyText"/>
        <w:spacing w:line="249" w:lineRule="auto" w:before="93"/>
        <w:ind w:left="108" w:right="38"/>
        <w:jc w:val="both"/>
      </w:pPr>
      <w:r>
        <w:rPr/>
        <w:pict>
          <v:group style="position:absolute;margin-left:.000018pt;margin-top:0pt;width:1187.2pt;height:1583pt;mso-position-horizontal-relative:page;mso-position-vertical-relative:page;z-index:-15762432" id="docshapegroup1" coordorigin="0,0" coordsize="23744,31660">
            <v:shape style="position:absolute;left:0;top:0;width:23744;height:31660" type="#_x0000_t75" id="docshape2" stroked="false">
              <v:imagedata r:id="rId6" o:title=""/>
            </v:shape>
            <v:shape style="position:absolute;left:1895;top:21383;width:10030;height:6779" type="#_x0000_t75" id="docshape3" stroked="false">
              <v:imagedata r:id="rId7" o:title=""/>
            </v:shape>
            <v:shape style="position:absolute;left:2005;top:21494;width:9760;height:6509" type="#_x0000_t75" id="docshape4" stroked="false">
              <v:imagedata r:id="rId8" o:title=""/>
            </v:shape>
            <v:rect style="position:absolute;left:1959;top:21447;width:9853;height:6602" id="docshape5" filled="false" stroked="true" strokeweight="4.653638pt" strokecolor="#000000">
              <v:stroke dashstyle="solid"/>
            </v:rect>
            <v:shape style="position:absolute;left:12632;top:21383;width:8949;height:6779" type="#_x0000_t75" id="docshape6" stroked="false">
              <v:imagedata r:id="rId9" o:title=""/>
            </v:shape>
            <v:shape style="position:absolute;left:12743;top:21494;width:8679;height:6509" type="#_x0000_t75" id="docshape7" stroked="false">
              <v:imagedata r:id="rId10" o:title=""/>
            </v:shape>
            <v:rect style="position:absolute;left:12696;top:21447;width:8772;height:6602" id="docshape8" filled="false" stroked="true" strokeweight="4.653638pt" strokecolor="#000000">
              <v:stroke dashstyle="solid"/>
            </v:rect>
            <w10:wrap type="none"/>
          </v:group>
        </w:pict>
      </w:r>
      <w:r>
        <w:rPr/>
        <w:t>Para a execução do projeto, serão adotados os seguintes procedimentos metodológicos: seminários, palestras e minicursos com convidados externos sobre práticas inovadoras no ensino superior;</w:t>
      </w:r>
      <w:r>
        <w:rPr>
          <w:spacing w:val="-2"/>
        </w:rPr>
        <w:t> </w:t>
      </w:r>
      <w:r>
        <w:rPr/>
        <w:t>jornadas</w:t>
      </w:r>
      <w:r>
        <w:rPr>
          <w:spacing w:val="-2"/>
        </w:rPr>
        <w:t> </w:t>
      </w:r>
      <w:r>
        <w:rPr/>
        <w:t>acadêmicas</w:t>
      </w:r>
      <w:r>
        <w:rPr>
          <w:spacing w:val="-2"/>
        </w:rPr>
        <w:t> </w:t>
      </w:r>
      <w:r>
        <w:rPr/>
        <w:t>temáticas,</w:t>
      </w:r>
      <w:r>
        <w:rPr>
          <w:spacing w:val="-2"/>
        </w:rPr>
        <w:t> </w:t>
      </w:r>
      <w:r>
        <w:rPr/>
        <w:t>planejadas</w:t>
      </w:r>
      <w:r>
        <w:rPr>
          <w:spacing w:val="-2"/>
        </w:rPr>
        <w:t> </w:t>
      </w:r>
      <w:r>
        <w:rPr/>
        <w:t>coletivamente pelo NDE, corpo discente e docente, envolvendo temas emergentes; trabalhos interdisciplinares do 1º ao 3º termo, articulando o ensino de Administração com a comunidade; participação em eventos nacionais da área; e visitas técnicas a organizações municipais, estaduais, nacionais e internacionais.</w:t>
      </w:r>
    </w:p>
    <w:p>
      <w:pPr>
        <w:pStyle w:val="BodyText"/>
        <w:spacing w:line="249" w:lineRule="auto" w:before="90"/>
        <w:ind w:left="108" w:right="104"/>
        <w:jc w:val="both"/>
      </w:pPr>
      <w:r>
        <w:rPr/>
        <w:br w:type="column"/>
      </w:r>
      <w:r>
        <w:rPr/>
        <w:t>Diante do exposto, conclui-se que a formação continuada dos docentes é fundamental para o aprimoramento do ensino- aprendizagem no curso de Administração, favorecendo a adoção</w:t>
      </w:r>
      <w:r>
        <w:rPr>
          <w:spacing w:val="40"/>
        </w:rPr>
        <w:t> </w:t>
      </w:r>
      <w:r>
        <w:rPr/>
        <w:t>de metodologias inovadoras e a construção de uma cultura interdisciplinar. Espera-se que as ações propostas fortaleçam a articulação entre teoria e prática, qualifiquem o desempenho docente e discente, e estimulem a comunidade acadêmica a repensar continuamente suas práticas pedagógicas.</w:t>
      </w:r>
    </w:p>
    <w:sectPr>
      <w:type w:val="continuous"/>
      <w:pgSz w:w="23750" w:h="31660"/>
      <w:pgMar w:top="3720" w:bottom="280" w:left="2560" w:right="2560"/>
      <w:cols w:num="2" w:equalWidth="0">
        <w:col w:w="8584" w:space="1390"/>
        <w:col w:w="865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93"/>
      <w:ind w:left="108"/>
      <w:outlineLvl w:val="1"/>
    </w:pPr>
    <w:rPr>
      <w:rFonts w:ascii="Arial" w:hAnsi="Arial" w:eastAsia="Arial" w:cs="Arial"/>
      <w:sz w:val="33"/>
      <w:szCs w:val="33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0"/>
      <w:ind w:left="3529" w:right="3529"/>
      <w:jc w:val="center"/>
    </w:pPr>
    <w:rPr>
      <w:rFonts w:ascii="Arial" w:hAnsi="Arial" w:eastAsia="Arial" w:cs="Arial"/>
      <w:b/>
      <w:bCs/>
      <w:sz w:val="44"/>
      <w:szCs w:val="4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e.esag@udesc.br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image" Target="media/image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2026-09-23T03:18:51Z</dcterms:created>
  <dcterms:modified xsi:type="dcterms:W3CDTF">2026-09-23T03:18:51Z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Microsoft® PowerPoint® LTSC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PowerPoint® LTSC</vt:lpwstr>
  </property>
</Properties>
</file>